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C4411" w14:textId="6A7F23F0" w:rsidR="00230ED4" w:rsidRPr="000931E0" w:rsidRDefault="00230ED4" w:rsidP="00230ED4">
      <w:pPr>
        <w:widowControl/>
        <w:pBdr>
          <w:bottom w:val="single" w:sz="12" w:space="1" w:color="auto"/>
        </w:pBdr>
        <w:tabs>
          <w:tab w:val="right" w:pos="1985"/>
          <w:tab w:val="right" w:pos="9747"/>
        </w:tabs>
        <w:rPr>
          <w:rFonts w:ascii="Arial" w:eastAsia="ＭＳ 明朝" w:hAnsi="Arial" w:cs="Arial"/>
          <w:b/>
          <w:noProof/>
          <w:kern w:val="0"/>
          <w:sz w:val="24"/>
          <w:szCs w:val="24"/>
          <w:lang w:val="de-DE" w:eastAsia="ja-JP"/>
        </w:rPr>
      </w:pPr>
      <w:bookmarkStart w:id="0" w:name="OLE_LINK2"/>
      <w:r w:rsidRPr="000931E0">
        <w:rPr>
          <w:rFonts w:ascii="Arial" w:eastAsia="ＭＳ 明朝" w:hAnsi="Arial" w:cs="Arial"/>
          <w:b/>
          <w:noProof/>
          <w:kern w:val="0"/>
          <w:sz w:val="24"/>
          <w:szCs w:val="24"/>
          <w:lang w:val="de-DE" w:eastAsia="en-US"/>
        </w:rPr>
        <w:t>3GPP TSG RAN WG1 #98</w:t>
      </w:r>
      <w:r w:rsidRPr="000931E0">
        <w:rPr>
          <w:rFonts w:ascii="Arial" w:eastAsia="ＭＳ 明朝" w:hAnsi="Arial" w:cs="Arial"/>
          <w:b/>
          <w:noProof/>
          <w:kern w:val="0"/>
          <w:sz w:val="24"/>
          <w:szCs w:val="24"/>
          <w:lang w:val="de-DE" w:eastAsia="en-US"/>
        </w:rPr>
        <w:tab/>
        <w:t>R1-190</w:t>
      </w:r>
      <w:r>
        <w:rPr>
          <w:rFonts w:ascii="Arial" w:eastAsia="ＭＳ 明朝" w:hAnsi="Arial" w:cs="Arial"/>
          <w:b/>
          <w:noProof/>
          <w:kern w:val="0"/>
          <w:sz w:val="24"/>
          <w:szCs w:val="24"/>
          <w:lang w:val="de-DE" w:eastAsia="ja-JP"/>
        </w:rPr>
        <w:t>8217</w:t>
      </w:r>
    </w:p>
    <w:p w14:paraId="7D2C2F4B" w14:textId="77777777" w:rsidR="00230ED4" w:rsidRPr="000931E0" w:rsidRDefault="00230ED4" w:rsidP="00230ED4">
      <w:pPr>
        <w:widowControl/>
        <w:pBdr>
          <w:bottom w:val="single" w:sz="12" w:space="1" w:color="auto"/>
        </w:pBdr>
        <w:tabs>
          <w:tab w:val="left" w:pos="1740"/>
        </w:tabs>
        <w:spacing w:beforeLines="20" w:before="62" w:afterLines="20" w:after="62"/>
        <w:rPr>
          <w:rFonts w:ascii="Arial" w:eastAsia="ＭＳ 明朝" w:hAnsi="Arial" w:cs="Arial"/>
          <w:b/>
          <w:noProof/>
          <w:kern w:val="0"/>
          <w:sz w:val="24"/>
          <w:szCs w:val="24"/>
          <w:lang w:val="de-DE" w:eastAsia="en-US"/>
        </w:rPr>
      </w:pPr>
      <w:r w:rsidRPr="000931E0">
        <w:rPr>
          <w:rFonts w:ascii="Arial" w:eastAsia="ＭＳ 明朝" w:hAnsi="Arial" w:cs="Arial"/>
          <w:b/>
          <w:noProof/>
          <w:kern w:val="0"/>
          <w:sz w:val="24"/>
          <w:szCs w:val="24"/>
          <w:lang w:val="de-DE" w:eastAsia="en-US"/>
        </w:rPr>
        <w:t>Prague, CZ, August 26th – 30th, 2019</w:t>
      </w:r>
    </w:p>
    <w:p w14:paraId="231F3866" w14:textId="77777777" w:rsidR="00230ED4" w:rsidRDefault="00230ED4" w:rsidP="00230ED4">
      <w:pPr>
        <w:widowControl/>
        <w:pBdr>
          <w:bottom w:val="single" w:sz="12" w:space="1" w:color="auto"/>
        </w:pBdr>
        <w:tabs>
          <w:tab w:val="left" w:pos="1740"/>
        </w:tabs>
        <w:spacing w:beforeLines="20" w:before="62" w:afterLines="20" w:after="62"/>
        <w:rPr>
          <w:rFonts w:ascii="Arial" w:eastAsia="ＭＳ ゴシック" w:hAnsi="Arial" w:cs="Arial"/>
          <w:b/>
          <w:kern w:val="0"/>
          <w:sz w:val="24"/>
          <w:szCs w:val="24"/>
          <w:lang w:val="de-DE" w:eastAsia="en-US"/>
        </w:rPr>
      </w:pPr>
    </w:p>
    <w:p w14:paraId="7FC3671C" w14:textId="6E989E91" w:rsidR="00230ED4" w:rsidRPr="000931E0" w:rsidRDefault="00230ED4" w:rsidP="00230ED4">
      <w:pPr>
        <w:widowControl/>
        <w:pBdr>
          <w:bottom w:val="single" w:sz="12" w:space="1" w:color="auto"/>
        </w:pBdr>
        <w:tabs>
          <w:tab w:val="left" w:pos="1740"/>
        </w:tabs>
        <w:spacing w:beforeLines="20" w:before="62" w:afterLines="20" w:after="62"/>
        <w:rPr>
          <w:rFonts w:ascii="Arial" w:eastAsia="SimSun" w:hAnsi="Arial" w:cs="Arial"/>
          <w:b/>
          <w:kern w:val="0"/>
          <w:sz w:val="24"/>
          <w:szCs w:val="24"/>
          <w:lang w:eastAsia="ja-JP"/>
        </w:rPr>
      </w:pPr>
      <w:r w:rsidRPr="000931E0">
        <w:rPr>
          <w:rFonts w:ascii="Arial" w:eastAsia="ＭＳ ゴシック" w:hAnsi="Arial" w:cs="Arial"/>
          <w:b/>
          <w:kern w:val="0"/>
          <w:sz w:val="24"/>
          <w:szCs w:val="24"/>
          <w:lang w:eastAsia="en-US"/>
        </w:rPr>
        <w:t>Agenda Item:</w:t>
      </w:r>
      <w:bookmarkStart w:id="1" w:name="Source"/>
      <w:bookmarkEnd w:id="1"/>
      <w:r w:rsidRPr="000931E0">
        <w:rPr>
          <w:rFonts w:ascii="Arial" w:eastAsia="ＭＳ ゴシック" w:hAnsi="Arial" w:cs="Arial"/>
          <w:b/>
          <w:kern w:val="0"/>
          <w:sz w:val="24"/>
          <w:szCs w:val="24"/>
          <w:lang w:eastAsia="en-US"/>
        </w:rPr>
        <w:tab/>
        <w:t>7.2.2.</w:t>
      </w:r>
      <w:r>
        <w:rPr>
          <w:rFonts w:ascii="Arial" w:eastAsia="ＭＳ ゴシック" w:hAnsi="Arial" w:cs="Arial" w:hint="eastAsia"/>
          <w:b/>
          <w:kern w:val="0"/>
          <w:sz w:val="24"/>
          <w:szCs w:val="24"/>
          <w:lang w:eastAsia="ja-JP"/>
        </w:rPr>
        <w:t>2.5</w:t>
      </w:r>
    </w:p>
    <w:p w14:paraId="06579702" w14:textId="77777777" w:rsidR="00230ED4" w:rsidRPr="000931E0" w:rsidRDefault="00230ED4" w:rsidP="00230ED4">
      <w:pPr>
        <w:widowControl/>
        <w:pBdr>
          <w:bottom w:val="single" w:sz="12" w:space="1" w:color="auto"/>
        </w:pBdr>
        <w:tabs>
          <w:tab w:val="left" w:pos="1740"/>
        </w:tabs>
        <w:spacing w:beforeLines="20" w:before="62" w:afterLines="20" w:after="62"/>
        <w:rPr>
          <w:rFonts w:ascii="Arial" w:eastAsia="SimSun" w:hAnsi="Arial" w:cs="Arial"/>
          <w:b/>
          <w:kern w:val="0"/>
          <w:sz w:val="24"/>
          <w:szCs w:val="24"/>
        </w:rPr>
      </w:pPr>
      <w:r w:rsidRPr="000931E0">
        <w:rPr>
          <w:rFonts w:ascii="Arial" w:eastAsia="ＭＳ ゴシック" w:hAnsi="Arial" w:cs="Arial"/>
          <w:b/>
          <w:kern w:val="0"/>
          <w:sz w:val="24"/>
          <w:szCs w:val="24"/>
          <w:lang w:eastAsia="en-US"/>
        </w:rPr>
        <w:t xml:space="preserve">Source: </w:t>
      </w:r>
      <w:r w:rsidRPr="000931E0">
        <w:rPr>
          <w:rFonts w:ascii="Arial" w:eastAsia="ＭＳ ゴシック" w:hAnsi="Arial" w:cs="Arial"/>
          <w:b/>
          <w:kern w:val="0"/>
          <w:sz w:val="24"/>
          <w:szCs w:val="24"/>
          <w:lang w:eastAsia="en-US"/>
        </w:rPr>
        <w:tab/>
      </w:r>
      <w:r w:rsidRPr="000931E0">
        <w:rPr>
          <w:rFonts w:ascii="Arial" w:eastAsia="ＭＳ ゴシック" w:hAnsi="Arial" w:cs="Arial" w:hint="eastAsia"/>
          <w:b/>
          <w:kern w:val="0"/>
          <w:sz w:val="24"/>
          <w:szCs w:val="24"/>
          <w:lang w:eastAsia="ja-JP"/>
        </w:rPr>
        <w:t>Fujitsu</w:t>
      </w:r>
    </w:p>
    <w:p w14:paraId="6948E8B0" w14:textId="2D9A8AA6" w:rsidR="00230ED4" w:rsidRPr="000931E0" w:rsidRDefault="00230ED4" w:rsidP="00230ED4">
      <w:pPr>
        <w:widowControl/>
        <w:pBdr>
          <w:bottom w:val="single" w:sz="12" w:space="1" w:color="auto"/>
        </w:pBdr>
        <w:tabs>
          <w:tab w:val="left" w:pos="1740"/>
        </w:tabs>
        <w:spacing w:beforeLines="20" w:before="62" w:afterLines="20" w:after="62"/>
        <w:rPr>
          <w:rFonts w:ascii="Arial" w:eastAsia="ＭＳ ゴシック" w:hAnsi="Arial" w:cs="Arial"/>
          <w:b/>
          <w:kern w:val="0"/>
          <w:sz w:val="24"/>
          <w:szCs w:val="24"/>
          <w:lang w:eastAsia="en-US"/>
        </w:rPr>
      </w:pPr>
      <w:r w:rsidRPr="000931E0">
        <w:rPr>
          <w:rFonts w:ascii="Arial" w:eastAsia="ＭＳ ゴシック" w:hAnsi="Arial" w:cs="Arial"/>
          <w:b/>
          <w:kern w:val="0"/>
          <w:sz w:val="24"/>
          <w:szCs w:val="24"/>
          <w:lang w:eastAsia="en-US"/>
        </w:rPr>
        <w:t>Title:</w:t>
      </w:r>
      <w:r w:rsidRPr="000931E0">
        <w:rPr>
          <w:rFonts w:ascii="Arial" w:eastAsia="ＭＳ ゴシック" w:hAnsi="Arial" w:cs="Arial"/>
          <w:b/>
          <w:kern w:val="0"/>
          <w:sz w:val="24"/>
          <w:szCs w:val="24"/>
          <w:lang w:eastAsia="en-US"/>
        </w:rPr>
        <w:tab/>
      </w:r>
      <w:r w:rsidRPr="00230ED4">
        <w:rPr>
          <w:rFonts w:ascii="Arial" w:eastAsia="ＭＳ ゴシック" w:hAnsi="Arial" w:cs="Arial"/>
          <w:b/>
          <w:kern w:val="0"/>
          <w:sz w:val="24"/>
          <w:szCs w:val="24"/>
          <w:lang w:eastAsia="en-US"/>
        </w:rPr>
        <w:t>On wideband operation for NR-U</w:t>
      </w:r>
    </w:p>
    <w:p w14:paraId="04919A62" w14:textId="632C8105" w:rsidR="00230ED4" w:rsidRPr="00230ED4" w:rsidRDefault="00230ED4" w:rsidP="00230ED4">
      <w:pPr>
        <w:widowControl/>
        <w:pBdr>
          <w:bottom w:val="single" w:sz="12" w:space="1" w:color="auto"/>
        </w:pBdr>
        <w:tabs>
          <w:tab w:val="left" w:pos="1740"/>
        </w:tabs>
        <w:spacing w:beforeLines="20" w:before="62" w:afterLines="20" w:after="62"/>
        <w:rPr>
          <w:rFonts w:ascii="Arial" w:eastAsia="ＭＳ ゴシック" w:hAnsi="Arial" w:cs="Arial"/>
          <w:b/>
          <w:kern w:val="0"/>
          <w:sz w:val="24"/>
          <w:szCs w:val="24"/>
          <w:lang w:eastAsia="en-US"/>
        </w:rPr>
      </w:pPr>
      <w:r w:rsidRPr="000931E0">
        <w:rPr>
          <w:rFonts w:ascii="Arial" w:eastAsia="ＭＳ ゴシック" w:hAnsi="Arial" w:cs="Arial"/>
          <w:b/>
          <w:kern w:val="0"/>
          <w:sz w:val="24"/>
          <w:szCs w:val="24"/>
          <w:lang w:eastAsia="en-US"/>
        </w:rPr>
        <w:t>Document for:</w:t>
      </w:r>
      <w:r w:rsidRPr="000931E0">
        <w:rPr>
          <w:rFonts w:ascii="Arial" w:eastAsia="ＭＳ ゴシック" w:hAnsi="Arial" w:cs="Arial"/>
          <w:b/>
          <w:kern w:val="0"/>
          <w:sz w:val="24"/>
          <w:szCs w:val="24"/>
          <w:lang w:eastAsia="en-US"/>
        </w:rPr>
        <w:tab/>
      </w:r>
      <w:r w:rsidRPr="000931E0">
        <w:rPr>
          <w:rFonts w:ascii="Arial" w:eastAsia="ＭＳ ゴシック" w:hAnsi="Arial" w:cs="Arial" w:hint="eastAsia"/>
          <w:b/>
          <w:kern w:val="0"/>
          <w:sz w:val="24"/>
          <w:szCs w:val="24"/>
          <w:lang w:eastAsia="en-US"/>
        </w:rPr>
        <w:t>Discussion</w:t>
      </w:r>
      <w:r w:rsidRPr="000931E0">
        <w:rPr>
          <w:rFonts w:ascii="Arial" w:eastAsia="ＭＳ ゴシック" w:hAnsi="Arial" w:cs="Arial"/>
          <w:b/>
          <w:kern w:val="0"/>
          <w:sz w:val="24"/>
          <w:szCs w:val="24"/>
          <w:lang w:eastAsia="en-US"/>
        </w:rPr>
        <w:t>/Decision</w:t>
      </w:r>
    </w:p>
    <w:p w14:paraId="2F786334" w14:textId="04077DE5" w:rsidR="00366390" w:rsidRPr="00570A94" w:rsidRDefault="003971B9" w:rsidP="00461E70">
      <w:pPr>
        <w:pStyle w:val="1"/>
        <w:numPr>
          <w:ilvl w:val="0"/>
          <w:numId w:val="11"/>
        </w:numPr>
        <w:tabs>
          <w:tab w:val="num" w:pos="425"/>
        </w:tabs>
        <w:rPr>
          <w:b/>
          <w:snapToGrid w:val="0"/>
        </w:rPr>
      </w:pPr>
      <w:r w:rsidRPr="00570A94">
        <w:rPr>
          <w:b/>
          <w:snapToGrid w:val="0"/>
        </w:rPr>
        <w:t>Introduction</w:t>
      </w:r>
    </w:p>
    <w:p w14:paraId="1527C906" w14:textId="69E5EFF3" w:rsidR="00A520FF" w:rsidRPr="00A520FF" w:rsidRDefault="003A6DBF" w:rsidP="00A520FF">
      <w:pPr>
        <w:pStyle w:val="LGTdoc1"/>
        <w:spacing w:before="156" w:after="0" w:afterAutospacing="0"/>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 xml:space="preserve">This contribution is revised from [1]. </w:t>
      </w:r>
      <w:r w:rsidR="00366390">
        <w:rPr>
          <w:rFonts w:ascii="Times New Roman" w:eastAsia="SimSun" w:hAnsi="Times New Roman" w:cs="Times New Roman" w:hint="eastAsia"/>
          <w:b w:val="0"/>
          <w:sz w:val="22"/>
          <w:szCs w:val="22"/>
          <w:lang w:val="en-US" w:eastAsia="zh-CN"/>
        </w:rPr>
        <w:t xml:space="preserve">Regarding </w:t>
      </w:r>
      <w:r w:rsidR="00366390">
        <w:rPr>
          <w:rFonts w:ascii="Times New Roman" w:eastAsia="SimSun" w:hAnsi="Times New Roman" w:cs="Times New Roman"/>
          <w:b w:val="0"/>
          <w:sz w:val="22"/>
          <w:szCs w:val="22"/>
          <w:lang w:val="en-US" w:eastAsia="zh-CN"/>
        </w:rPr>
        <w:t xml:space="preserve">the </w:t>
      </w:r>
      <w:r w:rsidR="00A45514">
        <w:rPr>
          <w:rFonts w:ascii="Times New Roman" w:eastAsia="SimSun" w:hAnsi="Times New Roman" w:cs="Times New Roman"/>
          <w:b w:val="0"/>
          <w:sz w:val="22"/>
          <w:szCs w:val="22"/>
          <w:lang w:val="en-US" w:eastAsia="zh-CN"/>
        </w:rPr>
        <w:t>wide</w:t>
      </w:r>
      <w:r w:rsidR="00366390">
        <w:rPr>
          <w:rFonts w:ascii="Times New Roman" w:eastAsia="SimSun" w:hAnsi="Times New Roman" w:cs="Times New Roman"/>
          <w:b w:val="0"/>
          <w:sz w:val="22"/>
          <w:szCs w:val="22"/>
          <w:lang w:val="en-US" w:eastAsia="zh-CN"/>
        </w:rPr>
        <w:t>band operation</w:t>
      </w:r>
      <w:r w:rsidR="00366390">
        <w:rPr>
          <w:rFonts w:ascii="Times New Roman" w:eastAsia="SimSun" w:hAnsi="Times New Roman" w:cs="Times New Roman" w:hint="eastAsia"/>
          <w:b w:val="0"/>
          <w:sz w:val="22"/>
          <w:szCs w:val="22"/>
          <w:lang w:val="en-US" w:eastAsia="zh-CN"/>
        </w:rPr>
        <w:t xml:space="preserve"> for NR-U, </w:t>
      </w:r>
      <w:r w:rsidR="00CE72A9">
        <w:rPr>
          <w:rFonts w:ascii="Times New Roman" w:eastAsia="SimSun" w:hAnsi="Times New Roman" w:cs="Times New Roman"/>
          <w:b w:val="0"/>
          <w:sz w:val="22"/>
          <w:szCs w:val="22"/>
          <w:lang w:val="en-US" w:eastAsia="zh-CN"/>
        </w:rPr>
        <w:t>some</w:t>
      </w:r>
      <w:r w:rsidR="00366390">
        <w:rPr>
          <w:rFonts w:ascii="Times New Roman" w:eastAsia="SimSun" w:hAnsi="Times New Roman" w:cs="Times New Roman" w:hint="eastAsia"/>
          <w:b w:val="0"/>
          <w:sz w:val="22"/>
          <w:szCs w:val="22"/>
          <w:lang w:val="en-US" w:eastAsia="zh-CN"/>
        </w:rPr>
        <w:t xml:space="preserve"> </w:t>
      </w:r>
      <w:r w:rsidR="00CE72A9">
        <w:rPr>
          <w:rFonts w:ascii="Times New Roman" w:eastAsia="SimSun" w:hAnsi="Times New Roman" w:cs="Times New Roman"/>
          <w:b w:val="0"/>
          <w:sz w:val="22"/>
          <w:szCs w:val="22"/>
          <w:lang w:val="en-US" w:eastAsia="zh-CN"/>
        </w:rPr>
        <w:t xml:space="preserve">relevant </w:t>
      </w:r>
      <w:r w:rsidR="00366390">
        <w:rPr>
          <w:rFonts w:ascii="Times New Roman" w:eastAsia="SimSun" w:hAnsi="Times New Roman" w:cs="Times New Roman" w:hint="eastAsia"/>
          <w:b w:val="0"/>
          <w:sz w:val="22"/>
          <w:szCs w:val="22"/>
          <w:lang w:val="en-US" w:eastAsia="zh-CN"/>
        </w:rPr>
        <w:t xml:space="preserve">agreements were achieved in previous </w:t>
      </w:r>
      <w:r w:rsidR="00366390">
        <w:rPr>
          <w:rFonts w:ascii="Times New Roman" w:eastAsia="SimSun" w:hAnsi="Times New Roman" w:cs="Times New Roman"/>
          <w:b w:val="0"/>
          <w:sz w:val="22"/>
          <w:szCs w:val="22"/>
          <w:lang w:val="en-US" w:eastAsia="zh-CN"/>
        </w:rPr>
        <w:t xml:space="preserve">RAN1 </w:t>
      </w:r>
      <w:r w:rsidR="00366390">
        <w:rPr>
          <w:rFonts w:ascii="Times New Roman" w:eastAsia="SimSun" w:hAnsi="Times New Roman" w:cs="Times New Roman" w:hint="eastAsia"/>
          <w:b w:val="0"/>
          <w:sz w:val="22"/>
          <w:szCs w:val="22"/>
          <w:lang w:val="en-US" w:eastAsia="zh-CN"/>
        </w:rPr>
        <w:t>meetings</w:t>
      </w:r>
      <w:r w:rsidR="00CE72A9">
        <w:rPr>
          <w:rFonts w:ascii="Times New Roman" w:eastAsia="SimSun" w:hAnsi="Times New Roman" w:cs="Times New Roman"/>
          <w:b w:val="0"/>
          <w:sz w:val="22"/>
          <w:szCs w:val="22"/>
          <w:lang w:val="en-US" w:eastAsia="zh-CN"/>
        </w:rPr>
        <w:t xml:space="preserve"> as shown in the Appendix</w:t>
      </w:r>
      <w:r w:rsidR="00366390">
        <w:rPr>
          <w:rFonts w:ascii="Times New Roman" w:eastAsia="SimSun" w:hAnsi="Times New Roman" w:cs="Times New Roman" w:hint="eastAsia"/>
          <w:b w:val="0"/>
          <w:sz w:val="22"/>
          <w:szCs w:val="22"/>
          <w:lang w:val="en-US" w:eastAsia="zh-CN"/>
        </w:rPr>
        <w:t>.</w:t>
      </w:r>
      <w:r w:rsidR="00366390">
        <w:rPr>
          <w:rFonts w:ascii="Times New Roman" w:eastAsia="SimSun" w:hAnsi="Times New Roman" w:cs="Times New Roman"/>
          <w:b w:val="0"/>
          <w:sz w:val="22"/>
          <w:szCs w:val="22"/>
          <w:lang w:val="en-US" w:eastAsia="zh-CN"/>
        </w:rPr>
        <w:t xml:space="preserve"> I</w:t>
      </w:r>
      <w:r w:rsidR="00366390">
        <w:rPr>
          <w:rFonts w:ascii="Times New Roman" w:eastAsia="SimSun" w:hAnsi="Times New Roman" w:cs="Times New Roman" w:hint="eastAsia"/>
          <w:b w:val="0"/>
          <w:sz w:val="22"/>
          <w:szCs w:val="22"/>
          <w:lang w:val="en-US" w:eastAsia="zh-CN"/>
        </w:rPr>
        <w:t xml:space="preserve">n </w:t>
      </w:r>
      <w:r w:rsidR="00366390">
        <w:rPr>
          <w:rFonts w:ascii="Times New Roman" w:eastAsia="SimSun" w:hAnsi="Times New Roman" w:cs="Times New Roman"/>
          <w:b w:val="0"/>
          <w:sz w:val="22"/>
          <w:szCs w:val="22"/>
          <w:lang w:val="en-US" w:eastAsia="zh-CN"/>
        </w:rPr>
        <w:t xml:space="preserve">this </w:t>
      </w:r>
      <w:r w:rsidR="00A45514">
        <w:rPr>
          <w:rFonts w:ascii="Times New Roman" w:eastAsia="SimSun" w:hAnsi="Times New Roman" w:cs="Times New Roman"/>
          <w:b w:val="0"/>
          <w:sz w:val="22"/>
          <w:szCs w:val="22"/>
          <w:lang w:val="en-US" w:eastAsia="zh-CN"/>
        </w:rPr>
        <w:t>contribution, we would like to share our views on</w:t>
      </w:r>
      <w:r w:rsidR="00366390">
        <w:rPr>
          <w:rFonts w:ascii="Times New Roman" w:eastAsia="SimSun" w:hAnsi="Times New Roman" w:cs="Times New Roman"/>
          <w:b w:val="0"/>
          <w:sz w:val="22"/>
          <w:szCs w:val="22"/>
          <w:lang w:val="en-US" w:eastAsia="zh-CN"/>
        </w:rPr>
        <w:t xml:space="preserve"> </w:t>
      </w:r>
      <w:r w:rsidR="00584205">
        <w:rPr>
          <w:rFonts w:ascii="Times New Roman" w:eastAsia="SimSun" w:hAnsi="Times New Roman" w:cs="Times New Roman"/>
          <w:b w:val="0"/>
          <w:sz w:val="22"/>
          <w:szCs w:val="22"/>
          <w:lang w:val="en-US" w:eastAsia="zh-CN"/>
        </w:rPr>
        <w:t xml:space="preserve">wideband </w:t>
      </w:r>
      <w:r w:rsidR="00021707">
        <w:rPr>
          <w:rFonts w:ascii="Times New Roman" w:eastAsia="SimSun" w:hAnsi="Times New Roman" w:cs="Times New Roman"/>
          <w:b w:val="0"/>
          <w:sz w:val="22"/>
          <w:szCs w:val="22"/>
          <w:lang w:val="en-US" w:eastAsia="zh-CN"/>
        </w:rPr>
        <w:t>BWP operation</w:t>
      </w:r>
      <w:r w:rsidR="00A45514">
        <w:rPr>
          <w:rFonts w:ascii="Times New Roman" w:eastAsia="SimSun" w:hAnsi="Times New Roman" w:cs="Times New Roman"/>
          <w:b w:val="0"/>
          <w:sz w:val="22"/>
          <w:szCs w:val="22"/>
          <w:lang w:val="en-US" w:eastAsia="zh-CN"/>
        </w:rPr>
        <w:t xml:space="preserve"> </w:t>
      </w:r>
      <w:r w:rsidR="006745B8">
        <w:rPr>
          <w:rFonts w:ascii="Times New Roman" w:eastAsia="SimSun" w:hAnsi="Times New Roman" w:cs="Times New Roman"/>
          <w:b w:val="0"/>
          <w:sz w:val="22"/>
          <w:szCs w:val="22"/>
          <w:lang w:val="en-US" w:eastAsia="zh-CN"/>
        </w:rPr>
        <w:t>in DL and UL</w:t>
      </w:r>
      <w:r w:rsidR="00584205">
        <w:rPr>
          <w:rFonts w:ascii="Times New Roman" w:eastAsia="SimSun" w:hAnsi="Times New Roman" w:cs="Times New Roman"/>
          <w:b w:val="0"/>
          <w:sz w:val="22"/>
          <w:szCs w:val="22"/>
          <w:lang w:val="en-US" w:eastAsia="zh-CN"/>
        </w:rPr>
        <w:t>.</w:t>
      </w:r>
    </w:p>
    <w:p w14:paraId="1932E6A9" w14:textId="3A17F2E3" w:rsidR="002644A1" w:rsidRPr="00570A94" w:rsidRDefault="003971B9" w:rsidP="00461E70">
      <w:pPr>
        <w:pStyle w:val="1"/>
        <w:numPr>
          <w:ilvl w:val="0"/>
          <w:numId w:val="11"/>
        </w:numPr>
        <w:tabs>
          <w:tab w:val="num" w:pos="425"/>
        </w:tabs>
        <w:rPr>
          <w:b/>
          <w:snapToGrid w:val="0"/>
        </w:rPr>
      </w:pPr>
      <w:r w:rsidRPr="00570A94">
        <w:rPr>
          <w:b/>
          <w:snapToGrid w:val="0"/>
        </w:rPr>
        <w:t>Discussion</w:t>
      </w:r>
    </w:p>
    <w:p w14:paraId="1F379C12" w14:textId="77777777" w:rsidR="00DF7D10" w:rsidRPr="00570A94" w:rsidRDefault="00DF7D10" w:rsidP="00461E70">
      <w:pPr>
        <w:pStyle w:val="2"/>
        <w:numPr>
          <w:ilvl w:val="1"/>
          <w:numId w:val="11"/>
        </w:numPr>
        <w:rPr>
          <w:snapToGrid w:val="0"/>
        </w:rPr>
      </w:pPr>
      <w:r w:rsidRPr="00570A94">
        <w:rPr>
          <w:rFonts w:hint="eastAsia"/>
          <w:snapToGrid w:val="0"/>
        </w:rPr>
        <w:t>Sub</w:t>
      </w:r>
      <w:r w:rsidRPr="00570A94">
        <w:rPr>
          <w:snapToGrid w:val="0"/>
        </w:rPr>
        <w:t>b</w:t>
      </w:r>
      <w:r w:rsidRPr="00570A94">
        <w:rPr>
          <w:rFonts w:hint="eastAsia"/>
          <w:snapToGrid w:val="0"/>
        </w:rPr>
        <w:t>and/</w:t>
      </w:r>
      <w:r w:rsidRPr="00570A94">
        <w:rPr>
          <w:snapToGrid w:val="0"/>
        </w:rPr>
        <w:t>Carrier</w:t>
      </w:r>
      <w:r w:rsidRPr="00570A94">
        <w:rPr>
          <w:rFonts w:hint="eastAsia"/>
          <w:snapToGrid w:val="0"/>
        </w:rPr>
        <w:t xml:space="preserve"> usage information</w:t>
      </w:r>
    </w:p>
    <w:p w14:paraId="5CFC4AA1" w14:textId="6C0F01CD" w:rsidR="008A440C" w:rsidRDefault="008A440C" w:rsidP="008A440C">
      <w:pPr>
        <w:pStyle w:val="LGTdoc1"/>
        <w:spacing w:before="156" w:after="0" w:afterAutospacing="0"/>
        <w:rPr>
          <w:rFonts w:ascii="Times New Roman" w:hAnsi="Times New Roman" w:cs="Times New Roman"/>
          <w:b w:val="0"/>
          <w:sz w:val="22"/>
          <w:szCs w:val="22"/>
          <w:lang w:val="en-US" w:eastAsia="ja-JP"/>
        </w:rPr>
      </w:pPr>
      <w:r w:rsidRPr="00DF7D10">
        <w:rPr>
          <w:rFonts w:ascii="Times New Roman" w:hAnsi="Times New Roman" w:cs="Times New Roman"/>
          <w:b w:val="0"/>
          <w:sz w:val="22"/>
          <w:szCs w:val="22"/>
          <w:lang w:val="en-US" w:eastAsia="ja-JP"/>
        </w:rPr>
        <w:t xml:space="preserve">In </w:t>
      </w:r>
      <w:r>
        <w:rPr>
          <w:rFonts w:ascii="Times New Roman" w:hAnsi="Times New Roman" w:cs="Times New Roman"/>
          <w:b w:val="0"/>
          <w:sz w:val="22"/>
          <w:szCs w:val="22"/>
          <w:lang w:val="en-US" w:eastAsia="ja-JP"/>
        </w:rPr>
        <w:t xml:space="preserve">RAN1#97, it was agreed that </w:t>
      </w:r>
      <w:r w:rsidRPr="00C7062F">
        <w:rPr>
          <w:rFonts w:ascii="Times New Roman" w:hAnsi="Times New Roman" w:cs="Times New Roman"/>
          <w:b w:val="0"/>
          <w:i/>
          <w:sz w:val="22"/>
          <w:szCs w:val="22"/>
          <w:lang w:val="en-US" w:eastAsia="ja-JP"/>
        </w:rPr>
        <w:t>explicit indication via GC-PDCCH is supported as a mechanism to inform the UE that one or more carriers and/or LBT bandwidths are not available or available for DL reception</w:t>
      </w:r>
      <w:r>
        <w:rPr>
          <w:rFonts w:ascii="Times New Roman" w:hAnsi="Times New Roman" w:cs="Times New Roman"/>
          <w:b w:val="0"/>
          <w:sz w:val="22"/>
          <w:szCs w:val="22"/>
          <w:lang w:val="en-US" w:eastAsia="ja-JP"/>
        </w:rPr>
        <w:t>. And one of the FFS point</w:t>
      </w:r>
      <w:r w:rsidR="00530A3F">
        <w:rPr>
          <w:rFonts w:ascii="Times New Roman" w:hAnsi="Times New Roman" w:cs="Times New Roman"/>
          <w:b w:val="0"/>
          <w:sz w:val="22"/>
          <w:szCs w:val="22"/>
          <w:lang w:val="en-US" w:eastAsia="ja-JP"/>
        </w:rPr>
        <w:t>s</w:t>
      </w:r>
      <w:r>
        <w:rPr>
          <w:rFonts w:ascii="Times New Roman" w:hAnsi="Times New Roman" w:cs="Times New Roman"/>
          <w:b w:val="0"/>
          <w:sz w:val="22"/>
          <w:szCs w:val="22"/>
          <w:lang w:val="en-US" w:eastAsia="ja-JP"/>
        </w:rPr>
        <w:t xml:space="preserve"> is </w:t>
      </w:r>
      <w:r>
        <w:rPr>
          <w:rFonts w:ascii="Times New Roman" w:hAnsi="Times New Roman" w:cs="Times New Roman"/>
          <w:b w:val="0"/>
          <w:i/>
          <w:sz w:val="22"/>
          <w:szCs w:val="22"/>
          <w:lang w:val="en-US" w:eastAsia="ja-JP"/>
        </w:rPr>
        <w:t>w</w:t>
      </w:r>
      <w:r w:rsidRPr="00C7062F">
        <w:rPr>
          <w:rFonts w:ascii="Times New Roman" w:hAnsi="Times New Roman" w:cs="Times New Roman"/>
          <w:b w:val="0"/>
          <w:i/>
          <w:sz w:val="22"/>
          <w:szCs w:val="22"/>
          <w:lang w:val="en-US" w:eastAsia="ja-JP"/>
        </w:rPr>
        <w:t>hether and how to support the mechanism at the beginning of DL transmission burst</w:t>
      </w:r>
      <w:r w:rsidR="00AB51FD">
        <w:rPr>
          <w:rFonts w:ascii="Times New Roman" w:hAnsi="Times New Roman" w:cs="Times New Roman"/>
          <w:b w:val="0"/>
          <w:sz w:val="22"/>
          <w:szCs w:val="22"/>
          <w:lang w:val="en-US" w:eastAsia="ja-JP"/>
        </w:rPr>
        <w:t xml:space="preserve">. As for </w:t>
      </w:r>
      <w:r>
        <w:rPr>
          <w:rFonts w:ascii="Times New Roman" w:hAnsi="Times New Roman" w:cs="Times New Roman"/>
          <w:b w:val="0"/>
          <w:sz w:val="22"/>
          <w:szCs w:val="22"/>
          <w:lang w:val="en-US" w:eastAsia="ja-JP"/>
        </w:rPr>
        <w:t xml:space="preserve">the beginning of DL transmission burst, the gNB may start transmission before the </w:t>
      </w:r>
      <w:r w:rsidR="00B31A9B">
        <w:rPr>
          <w:rFonts w:ascii="Times New Roman" w:hAnsi="Times New Roman" w:cs="Times New Roman"/>
          <w:b w:val="0"/>
          <w:sz w:val="22"/>
          <w:szCs w:val="22"/>
          <w:lang w:val="en-US" w:eastAsia="ja-JP"/>
        </w:rPr>
        <w:t xml:space="preserve">concrete </w:t>
      </w:r>
      <w:r>
        <w:rPr>
          <w:rFonts w:ascii="Times New Roman" w:hAnsi="Times New Roman" w:cs="Times New Roman"/>
          <w:b w:val="0"/>
          <w:sz w:val="22"/>
          <w:szCs w:val="22"/>
          <w:lang w:val="en-US" w:eastAsia="ja-JP"/>
        </w:rPr>
        <w:t xml:space="preserve">usage information is generated </w:t>
      </w:r>
      <w:r w:rsidR="00B31A9B">
        <w:rPr>
          <w:rFonts w:ascii="Times New Roman" w:hAnsi="Times New Roman" w:cs="Times New Roman"/>
          <w:b w:val="0"/>
          <w:sz w:val="22"/>
          <w:szCs w:val="22"/>
          <w:lang w:val="en-US" w:eastAsia="ja-JP"/>
        </w:rPr>
        <w:t>i</w:t>
      </w:r>
      <w:r>
        <w:rPr>
          <w:rFonts w:ascii="Times New Roman" w:hAnsi="Times New Roman" w:cs="Times New Roman"/>
          <w:b w:val="0"/>
          <w:sz w:val="22"/>
          <w:szCs w:val="22"/>
          <w:lang w:val="en-US" w:eastAsia="ja-JP"/>
        </w:rPr>
        <w:t xml:space="preserve">n time. </w:t>
      </w:r>
      <w:r w:rsidR="001B4684">
        <w:rPr>
          <w:rFonts w:ascii="Times New Roman" w:hAnsi="Times New Roman" w:cs="Times New Roman"/>
          <w:b w:val="0"/>
          <w:sz w:val="22"/>
          <w:szCs w:val="22"/>
          <w:lang w:val="en-US" w:eastAsia="ja-JP"/>
        </w:rPr>
        <w:t xml:space="preserve">That is to say, </w:t>
      </w:r>
      <w:r>
        <w:rPr>
          <w:rFonts w:ascii="Times New Roman" w:hAnsi="Times New Roman" w:cs="Times New Roman"/>
          <w:b w:val="0"/>
          <w:sz w:val="22"/>
          <w:szCs w:val="22"/>
          <w:lang w:val="en-US" w:eastAsia="ja-JP"/>
        </w:rPr>
        <w:t xml:space="preserve">the GC-PDCCH with usage information field </w:t>
      </w:r>
      <w:r w:rsidR="001B4684">
        <w:rPr>
          <w:rFonts w:ascii="Times New Roman" w:hAnsi="Times New Roman" w:cs="Times New Roman"/>
          <w:b w:val="0"/>
          <w:sz w:val="22"/>
          <w:szCs w:val="22"/>
          <w:lang w:val="en-US" w:eastAsia="ja-JP"/>
        </w:rPr>
        <w:t>is</w:t>
      </w:r>
      <w:r w:rsidR="00B31A9B">
        <w:rPr>
          <w:rFonts w:ascii="Times New Roman" w:hAnsi="Times New Roman" w:cs="Times New Roman"/>
          <w:b w:val="0"/>
          <w:sz w:val="22"/>
          <w:szCs w:val="22"/>
          <w:lang w:val="en-US" w:eastAsia="ja-JP"/>
        </w:rPr>
        <w:t xml:space="preserve"> transmitted in </w:t>
      </w:r>
      <w:r w:rsidR="00AD2A0C">
        <w:rPr>
          <w:rFonts w:ascii="Times New Roman" w:hAnsi="Times New Roman" w:cs="Times New Roman" w:hint="eastAsia"/>
          <w:b w:val="0"/>
          <w:sz w:val="22"/>
          <w:szCs w:val="22"/>
          <w:lang w:val="en-US" w:eastAsia="ja-JP"/>
        </w:rPr>
        <w:t>a</w:t>
      </w:r>
      <w:r w:rsidR="00AB51FD">
        <w:rPr>
          <w:rFonts w:ascii="Times New Roman" w:hAnsi="Times New Roman" w:cs="Times New Roman"/>
          <w:b w:val="0"/>
          <w:sz w:val="22"/>
          <w:szCs w:val="22"/>
          <w:lang w:val="en-US" w:eastAsia="ja-JP"/>
        </w:rPr>
        <w:t xml:space="preserve"> </w:t>
      </w:r>
      <w:r w:rsidR="00B31A9B">
        <w:rPr>
          <w:rFonts w:ascii="Times New Roman" w:hAnsi="Times New Roman" w:cs="Times New Roman"/>
          <w:b w:val="0"/>
          <w:sz w:val="22"/>
          <w:szCs w:val="22"/>
          <w:lang w:val="en-US" w:eastAsia="ja-JP"/>
        </w:rPr>
        <w:t xml:space="preserve">timing the gNB cannot generate accurate usage information in time. </w:t>
      </w:r>
      <w:r w:rsidR="001B4684">
        <w:rPr>
          <w:rFonts w:ascii="Times New Roman" w:hAnsi="Times New Roman" w:cs="Times New Roman"/>
          <w:b w:val="0"/>
          <w:sz w:val="22"/>
          <w:szCs w:val="22"/>
          <w:lang w:val="en-US" w:eastAsia="ja-JP"/>
        </w:rPr>
        <w:t xml:space="preserve">In order to enable the transmission of the usage information in </w:t>
      </w:r>
      <w:r w:rsidR="00E469BC">
        <w:rPr>
          <w:rFonts w:ascii="Times New Roman" w:hAnsi="Times New Roman" w:cs="Times New Roman"/>
          <w:b w:val="0"/>
          <w:sz w:val="22"/>
          <w:szCs w:val="22"/>
          <w:lang w:val="en-US" w:eastAsia="ja-JP"/>
        </w:rPr>
        <w:t>this</w:t>
      </w:r>
      <w:r w:rsidR="001B4684">
        <w:rPr>
          <w:rFonts w:ascii="Times New Roman" w:hAnsi="Times New Roman" w:cs="Times New Roman"/>
          <w:b w:val="0"/>
          <w:sz w:val="22"/>
          <w:szCs w:val="22"/>
          <w:lang w:val="en-US" w:eastAsia="ja-JP"/>
        </w:rPr>
        <w:t xml:space="preserve"> case, a</w:t>
      </w:r>
      <w:r w:rsidR="001B4684">
        <w:rPr>
          <w:rFonts w:ascii="Times New Roman" w:hAnsi="Times New Roman" w:cs="Times New Roman"/>
          <w:b w:val="0"/>
          <w:sz w:val="22"/>
          <w:szCs w:val="22"/>
          <w:lang w:val="en-US" w:eastAsia="ja-JP"/>
        </w:rPr>
        <w:t xml:space="preserve">nother state </w:t>
      </w:r>
      <w:r w:rsidR="001B4684">
        <w:rPr>
          <w:rFonts w:ascii="Times New Roman" w:hAnsi="Times New Roman" w:cs="Times New Roman"/>
          <w:b w:val="0"/>
          <w:sz w:val="22"/>
          <w:szCs w:val="22"/>
          <w:lang w:val="en-US" w:eastAsia="ja-JP"/>
        </w:rPr>
        <w:t xml:space="preserve">“unknown” needs to be </w:t>
      </w:r>
      <w:r w:rsidR="00E469BC">
        <w:rPr>
          <w:rFonts w:ascii="Times New Roman" w:hAnsi="Times New Roman" w:cs="Times New Roman"/>
          <w:b w:val="0"/>
          <w:sz w:val="22"/>
          <w:szCs w:val="22"/>
          <w:lang w:val="en-US" w:eastAsia="ja-JP"/>
        </w:rPr>
        <w:t>introduced</w:t>
      </w:r>
      <w:r w:rsidR="001B4684">
        <w:rPr>
          <w:rFonts w:ascii="Times New Roman" w:hAnsi="Times New Roman" w:cs="Times New Roman"/>
          <w:b w:val="0"/>
          <w:sz w:val="22"/>
          <w:szCs w:val="22"/>
          <w:lang w:val="en-US" w:eastAsia="ja-JP"/>
        </w:rPr>
        <w:t>.</w:t>
      </w:r>
      <w:r w:rsidR="001B4684">
        <w:rPr>
          <w:rFonts w:ascii="Times New Roman" w:hAnsi="Times New Roman" w:cs="Times New Roman"/>
          <w:b w:val="0"/>
          <w:sz w:val="22"/>
          <w:szCs w:val="22"/>
          <w:lang w:val="en-US" w:eastAsia="ja-JP"/>
        </w:rPr>
        <w:t xml:space="preserve"> </w:t>
      </w:r>
      <w:r w:rsidR="00B31A9B">
        <w:rPr>
          <w:rFonts w:ascii="Times New Roman" w:hAnsi="Times New Roman" w:cs="Times New Roman"/>
          <w:b w:val="0"/>
          <w:sz w:val="22"/>
          <w:szCs w:val="22"/>
          <w:lang w:val="en-US" w:eastAsia="ja-JP"/>
        </w:rPr>
        <w:t>Similarly</w:t>
      </w:r>
      <w:r w:rsidR="00E42746">
        <w:rPr>
          <w:rFonts w:ascii="Times New Roman" w:hAnsi="Times New Roman" w:cs="Times New Roman"/>
          <w:b w:val="0"/>
          <w:sz w:val="22"/>
          <w:szCs w:val="22"/>
          <w:lang w:val="en-US" w:eastAsia="ja-JP"/>
        </w:rPr>
        <w:t xml:space="preserve"> for the case of indication from a licensed carrier</w:t>
      </w:r>
      <w:r w:rsidR="00B31A9B">
        <w:rPr>
          <w:rFonts w:ascii="Times New Roman" w:hAnsi="Times New Roman" w:cs="Times New Roman"/>
          <w:b w:val="0"/>
          <w:sz w:val="22"/>
          <w:szCs w:val="22"/>
          <w:lang w:val="en-US" w:eastAsia="ja-JP"/>
        </w:rPr>
        <w:t xml:space="preserve">, </w:t>
      </w:r>
      <w:r w:rsidR="00E469BC">
        <w:rPr>
          <w:rFonts w:ascii="Times New Roman" w:hAnsi="Times New Roman" w:cs="Times New Roman"/>
          <w:b w:val="0"/>
          <w:sz w:val="22"/>
          <w:szCs w:val="22"/>
          <w:lang w:val="en-US" w:eastAsia="ja-JP"/>
        </w:rPr>
        <w:t>the</w:t>
      </w:r>
      <w:r w:rsidR="00E42746">
        <w:rPr>
          <w:rFonts w:ascii="Times New Roman" w:hAnsi="Times New Roman" w:cs="Times New Roman"/>
          <w:b w:val="0"/>
          <w:sz w:val="22"/>
          <w:szCs w:val="22"/>
          <w:lang w:val="en-US" w:eastAsia="ja-JP"/>
        </w:rPr>
        <w:t xml:space="preserve"> new state “unknown” can be added to support </w:t>
      </w:r>
      <w:r w:rsidR="00E469BC">
        <w:rPr>
          <w:rFonts w:ascii="Times New Roman" w:hAnsi="Times New Roman" w:cs="Times New Roman"/>
          <w:b w:val="0"/>
          <w:sz w:val="22"/>
          <w:szCs w:val="22"/>
          <w:lang w:val="en-US" w:eastAsia="ja-JP"/>
        </w:rPr>
        <w:t>the situation</w:t>
      </w:r>
      <w:r w:rsidR="002B17DD">
        <w:rPr>
          <w:rFonts w:ascii="Times New Roman" w:hAnsi="Times New Roman" w:cs="Times New Roman"/>
          <w:b w:val="0"/>
          <w:sz w:val="22"/>
          <w:szCs w:val="22"/>
          <w:lang w:val="en-US" w:eastAsia="ja-JP"/>
        </w:rPr>
        <w:t xml:space="preserve"> that</w:t>
      </w:r>
      <w:r>
        <w:rPr>
          <w:rFonts w:ascii="Times New Roman" w:hAnsi="Times New Roman" w:cs="Times New Roman"/>
          <w:b w:val="0"/>
          <w:sz w:val="22"/>
          <w:szCs w:val="22"/>
          <w:lang w:val="en-US" w:eastAsia="ja-JP"/>
        </w:rPr>
        <w:t xml:space="preserve"> the usage information </w:t>
      </w:r>
      <w:r w:rsidR="002B17DD">
        <w:rPr>
          <w:rFonts w:ascii="Times New Roman" w:hAnsi="Times New Roman" w:cs="Times New Roman"/>
          <w:b w:val="0"/>
          <w:sz w:val="22"/>
          <w:szCs w:val="22"/>
          <w:lang w:val="en-US" w:eastAsia="ja-JP"/>
        </w:rPr>
        <w:t>is</w:t>
      </w:r>
      <w:r>
        <w:rPr>
          <w:rFonts w:ascii="Times New Roman" w:hAnsi="Times New Roman" w:cs="Times New Roman"/>
          <w:b w:val="0"/>
          <w:sz w:val="22"/>
          <w:szCs w:val="22"/>
          <w:lang w:val="en-US" w:eastAsia="ja-JP"/>
        </w:rPr>
        <w:t xml:space="preserve"> transmitted at a timing that a DL transmission burst may or may not begin. </w:t>
      </w:r>
    </w:p>
    <w:p w14:paraId="55C7F727" w14:textId="0A5540E5" w:rsidR="008A440C" w:rsidRDefault="008A440C" w:rsidP="008A440C">
      <w:pPr>
        <w:pStyle w:val="LGTdoc1"/>
        <w:spacing w:before="156"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From the UE perspective, PDCCH monitoring is required in both the periods of “available” and “unknown”. In</w:t>
      </w:r>
      <w:r w:rsidR="00AB6CB2">
        <w:rPr>
          <w:rFonts w:ascii="Times New Roman" w:hAnsi="Times New Roman" w:cs="Times New Roman"/>
          <w:b w:val="0"/>
          <w:sz w:val="22"/>
          <w:szCs w:val="22"/>
          <w:lang w:val="en-US" w:eastAsia="ja-JP"/>
        </w:rPr>
        <w:t xml:space="preserve"> that sense</w:t>
      </w:r>
      <w:r>
        <w:rPr>
          <w:rFonts w:ascii="Times New Roman" w:hAnsi="Times New Roman" w:cs="Times New Roman"/>
          <w:b w:val="0"/>
          <w:sz w:val="22"/>
          <w:szCs w:val="22"/>
          <w:lang w:val="en-US" w:eastAsia="ja-JP"/>
        </w:rPr>
        <w:t xml:space="preserve">, “available” and “unknown” can be grouped as “may be available”. Therefore if only 1 bit per carrier or per LBT subband is used for indicating the usage information, the two states should be “not available” and “may be available”. </w:t>
      </w:r>
      <w:r w:rsidRPr="00C27D41">
        <w:rPr>
          <w:rFonts w:ascii="Times New Roman" w:hAnsi="Times New Roman" w:cs="Times New Roman"/>
          <w:b w:val="0"/>
          <w:sz w:val="22"/>
          <w:szCs w:val="22"/>
          <w:lang w:val="en-US" w:eastAsia="ja-JP"/>
        </w:rPr>
        <w:t xml:space="preserve">Since the same GC-PDCCH may also contain other information such as COT structure, </w:t>
      </w:r>
      <w:r w:rsidR="00080F95">
        <w:rPr>
          <w:rFonts w:ascii="Times New Roman" w:hAnsi="Times New Roman" w:cs="Times New Roman"/>
          <w:b w:val="0"/>
          <w:sz w:val="22"/>
          <w:szCs w:val="22"/>
          <w:lang w:val="en-US" w:eastAsia="ja-JP"/>
        </w:rPr>
        <w:t>ano</w:t>
      </w:r>
      <w:r w:rsidR="00C27D41">
        <w:rPr>
          <w:rFonts w:ascii="Times New Roman" w:hAnsi="Times New Roman" w:cs="Times New Roman"/>
          <w:b w:val="0"/>
          <w:sz w:val="22"/>
          <w:szCs w:val="22"/>
          <w:lang w:val="en-US" w:eastAsia="ja-JP"/>
        </w:rPr>
        <w:t xml:space="preserve">ther approach could be </w:t>
      </w:r>
      <w:r w:rsidR="00D67A02">
        <w:rPr>
          <w:rFonts w:ascii="Times New Roman" w:hAnsi="Times New Roman" w:cs="Times New Roman"/>
          <w:b w:val="0"/>
          <w:sz w:val="22"/>
          <w:szCs w:val="22"/>
          <w:lang w:val="en-US" w:eastAsia="ja-JP"/>
        </w:rPr>
        <w:t>signify</w:t>
      </w:r>
      <w:r w:rsidR="00080F95">
        <w:rPr>
          <w:rFonts w:ascii="Times New Roman" w:hAnsi="Times New Roman" w:cs="Times New Roman"/>
          <w:b w:val="0"/>
          <w:sz w:val="22"/>
          <w:szCs w:val="22"/>
          <w:lang w:val="en-US" w:eastAsia="ja-JP"/>
        </w:rPr>
        <w:t>ing</w:t>
      </w:r>
      <w:r w:rsidR="00C27D41">
        <w:rPr>
          <w:rFonts w:ascii="Times New Roman" w:hAnsi="Times New Roman" w:cs="Times New Roman"/>
          <w:b w:val="0"/>
          <w:sz w:val="22"/>
          <w:szCs w:val="22"/>
          <w:lang w:val="en-US" w:eastAsia="ja-JP"/>
        </w:rPr>
        <w:t xml:space="preserve"> the three state</w:t>
      </w:r>
      <w:r w:rsidR="00E469BC">
        <w:rPr>
          <w:rFonts w:ascii="Times New Roman" w:hAnsi="Times New Roman" w:cs="Times New Roman"/>
          <w:b w:val="0"/>
          <w:sz w:val="22"/>
          <w:szCs w:val="22"/>
          <w:lang w:val="en-US" w:eastAsia="ja-JP"/>
        </w:rPr>
        <w:t>s</w:t>
      </w:r>
      <w:r w:rsidR="00080F95">
        <w:rPr>
          <w:rFonts w:ascii="Times New Roman" w:hAnsi="Times New Roman" w:cs="Times New Roman"/>
          <w:b w:val="0"/>
          <w:sz w:val="22"/>
          <w:szCs w:val="22"/>
          <w:lang w:val="en-US" w:eastAsia="ja-JP"/>
        </w:rPr>
        <w:t xml:space="preserve"> “available”, </w:t>
      </w:r>
      <w:r w:rsidR="00C27D41">
        <w:rPr>
          <w:rFonts w:ascii="Times New Roman" w:hAnsi="Times New Roman" w:cs="Times New Roman"/>
          <w:b w:val="0"/>
          <w:sz w:val="22"/>
          <w:szCs w:val="22"/>
          <w:lang w:val="en-US" w:eastAsia="ja-JP"/>
        </w:rPr>
        <w:t xml:space="preserve">“not available” and </w:t>
      </w:r>
      <w:r w:rsidR="00080F95">
        <w:rPr>
          <w:rFonts w:ascii="Times New Roman" w:hAnsi="Times New Roman" w:cs="Times New Roman"/>
          <w:b w:val="0"/>
          <w:sz w:val="22"/>
          <w:szCs w:val="22"/>
          <w:lang w:val="en-US" w:eastAsia="ja-JP"/>
        </w:rPr>
        <w:t xml:space="preserve">“unknown” </w:t>
      </w:r>
      <w:r w:rsidR="00C27D41">
        <w:rPr>
          <w:rFonts w:ascii="Times New Roman" w:hAnsi="Times New Roman" w:cs="Times New Roman"/>
          <w:b w:val="0"/>
          <w:sz w:val="22"/>
          <w:szCs w:val="22"/>
          <w:lang w:val="en-US" w:eastAsia="ja-JP"/>
        </w:rPr>
        <w:t>by</w:t>
      </w:r>
      <w:r w:rsidR="00080F95">
        <w:rPr>
          <w:rFonts w:ascii="Times New Roman" w:hAnsi="Times New Roman" w:cs="Times New Roman"/>
          <w:b w:val="0"/>
          <w:sz w:val="22"/>
          <w:szCs w:val="22"/>
          <w:lang w:val="en-US" w:eastAsia="ja-JP"/>
        </w:rPr>
        <w:t xml:space="preserve"> </w:t>
      </w:r>
      <w:r w:rsidR="00C27D41">
        <w:rPr>
          <w:rFonts w:ascii="Times New Roman" w:hAnsi="Times New Roman" w:cs="Times New Roman"/>
          <w:b w:val="0"/>
          <w:sz w:val="22"/>
          <w:szCs w:val="22"/>
          <w:lang w:val="en-US" w:eastAsia="ja-JP"/>
        </w:rPr>
        <w:t>ap</w:t>
      </w:r>
      <w:r w:rsidR="00F06030">
        <w:rPr>
          <w:rFonts w:ascii="Times New Roman" w:hAnsi="Times New Roman" w:cs="Times New Roman"/>
          <w:b w:val="0"/>
          <w:sz w:val="22"/>
          <w:szCs w:val="22"/>
          <w:lang w:val="en-US" w:eastAsia="ja-JP"/>
        </w:rPr>
        <w:t xml:space="preserve">plying the three type of symbols, i.e. “D”, “U” and “F”, </w:t>
      </w:r>
      <w:r w:rsidR="00C27D41">
        <w:rPr>
          <w:rFonts w:ascii="Times New Roman" w:hAnsi="Times New Roman" w:cs="Times New Roman"/>
          <w:b w:val="0"/>
          <w:sz w:val="22"/>
          <w:szCs w:val="22"/>
          <w:lang w:val="en-US" w:eastAsia="ja-JP"/>
        </w:rPr>
        <w:t>in the slot format.</w:t>
      </w:r>
    </w:p>
    <w:p w14:paraId="736165E3" w14:textId="77777777" w:rsidR="008A440C" w:rsidRPr="00F06030" w:rsidRDefault="008A440C" w:rsidP="008A440C">
      <w:pPr>
        <w:pStyle w:val="LGTdoc1"/>
        <w:spacing w:before="156" w:after="0" w:afterAutospacing="0"/>
        <w:rPr>
          <w:rFonts w:ascii="Times New Roman" w:hAnsi="Times New Roman" w:cs="Times New Roman"/>
          <w:b w:val="0"/>
          <w:sz w:val="22"/>
          <w:szCs w:val="22"/>
          <w:lang w:val="en-US" w:eastAsia="ja-JP"/>
        </w:rPr>
      </w:pPr>
    </w:p>
    <w:p w14:paraId="7A8EA3AE" w14:textId="61F03968" w:rsidR="008A440C" w:rsidRDefault="008A440C" w:rsidP="008A440C">
      <w:pPr>
        <w:pStyle w:val="LGTdoc1"/>
        <w:spacing w:before="156" w:after="0" w:afterAutospacing="0"/>
        <w:rPr>
          <w:rFonts w:ascii="Times New Roman" w:eastAsia="SimSun" w:hAnsi="Times New Roman" w:cs="Times New Roman"/>
          <w:sz w:val="22"/>
          <w:szCs w:val="22"/>
          <w:lang w:val="en-US" w:eastAsia="zh-CN"/>
        </w:rPr>
      </w:pPr>
      <w:r w:rsidRPr="00DF4D01">
        <w:rPr>
          <w:rFonts w:ascii="Times New Roman" w:eastAsia="SimSun" w:hAnsi="Times New Roman" w:cs="Times New Roman"/>
          <w:sz w:val="22"/>
          <w:szCs w:val="22"/>
          <w:lang w:val="en-US" w:eastAsia="zh-CN"/>
        </w:rPr>
        <w:t>Observation 1:</w:t>
      </w:r>
      <w:r>
        <w:rPr>
          <w:rFonts w:ascii="Times New Roman" w:eastAsia="SimSun" w:hAnsi="Times New Roman" w:cs="Times New Roman"/>
          <w:sz w:val="22"/>
          <w:szCs w:val="22"/>
          <w:lang w:val="en-US" w:eastAsia="zh-CN"/>
        </w:rPr>
        <w:t xml:space="preserve"> As for the usage information of carriers or LBT subbands, other than the agreed two states “not available” and “available”, the third state “unknown” exists</w:t>
      </w:r>
      <w:r w:rsidR="00F06030">
        <w:rPr>
          <w:rFonts w:ascii="Times New Roman" w:eastAsia="SimSun" w:hAnsi="Times New Roman" w:cs="Times New Roman"/>
          <w:sz w:val="22"/>
          <w:szCs w:val="22"/>
          <w:lang w:val="en-US" w:eastAsia="zh-CN"/>
        </w:rPr>
        <w:t xml:space="preserve"> to be used</w:t>
      </w:r>
      <w:r>
        <w:rPr>
          <w:rFonts w:ascii="Times New Roman" w:eastAsia="SimSun" w:hAnsi="Times New Roman" w:cs="Times New Roman"/>
          <w:sz w:val="22"/>
          <w:szCs w:val="22"/>
          <w:lang w:val="en-US" w:eastAsia="zh-CN"/>
        </w:rPr>
        <w:t xml:space="preserve"> at the beginning of a DL transmission burst.</w:t>
      </w:r>
    </w:p>
    <w:p w14:paraId="4D2A51E8" w14:textId="77777777" w:rsidR="008A440C" w:rsidRDefault="008A440C" w:rsidP="008A440C">
      <w:pPr>
        <w:pStyle w:val="LGTdoc1"/>
        <w:spacing w:before="156" w:after="0" w:afterAutospacing="0"/>
        <w:rPr>
          <w:rFonts w:ascii="Times New Roman" w:hAnsi="Times New Roman" w:cs="Times New Roman"/>
          <w:b w:val="0"/>
          <w:sz w:val="22"/>
          <w:szCs w:val="22"/>
          <w:lang w:val="en-US" w:eastAsia="ja-JP"/>
        </w:rPr>
      </w:pPr>
      <w:r w:rsidRPr="00DF4D01">
        <w:rPr>
          <w:rFonts w:ascii="Times New Roman" w:eastAsia="SimSun" w:hAnsi="Times New Roman" w:cs="Times New Roman"/>
          <w:sz w:val="22"/>
          <w:szCs w:val="22"/>
          <w:lang w:val="en-US" w:eastAsia="zh-CN"/>
        </w:rPr>
        <w:t xml:space="preserve">Observation </w:t>
      </w:r>
      <w:r>
        <w:rPr>
          <w:rFonts w:ascii="Times New Roman" w:eastAsia="SimSun" w:hAnsi="Times New Roman" w:cs="Times New Roman"/>
          <w:sz w:val="22"/>
          <w:szCs w:val="22"/>
          <w:lang w:val="en-US" w:eastAsia="zh-CN"/>
        </w:rPr>
        <w:t>2: From the viewpoint of PDCCH monitoring, the two states “unknown” and “available” can be combined into a state “may be available”.</w:t>
      </w:r>
    </w:p>
    <w:p w14:paraId="6B950952" w14:textId="672455E0" w:rsidR="008A440C" w:rsidRPr="00DE6DB8" w:rsidRDefault="008A440C" w:rsidP="008A440C">
      <w:pPr>
        <w:pStyle w:val="LGTdoc1"/>
        <w:spacing w:before="156"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Proposal 1: If only 1 bit is used for indicating usage information of a carrier or a LBT subband, the agreed two states “not available” and “available” should be revised to “not available” and “may be available”</w:t>
      </w:r>
      <w:r w:rsidR="003C6B92">
        <w:rPr>
          <w:rFonts w:ascii="Times New Roman" w:eastAsia="SimSun" w:hAnsi="Times New Roman" w:cs="Times New Roman"/>
          <w:sz w:val="22"/>
          <w:szCs w:val="22"/>
          <w:lang w:val="en-US" w:eastAsia="zh-CN"/>
        </w:rPr>
        <w:t xml:space="preserve"> to support the </w:t>
      </w:r>
      <w:r w:rsidR="00AB6CB2">
        <w:rPr>
          <w:rFonts w:ascii="Times New Roman" w:eastAsia="SimSun" w:hAnsi="Times New Roman" w:cs="Times New Roman"/>
          <w:sz w:val="22"/>
          <w:szCs w:val="22"/>
          <w:lang w:val="en-US" w:eastAsia="zh-CN"/>
        </w:rPr>
        <w:t>transmission of usage information</w:t>
      </w:r>
      <w:r w:rsidR="003C6B92">
        <w:rPr>
          <w:rFonts w:ascii="Times New Roman" w:eastAsia="SimSun" w:hAnsi="Times New Roman" w:cs="Times New Roman"/>
          <w:sz w:val="22"/>
          <w:szCs w:val="22"/>
          <w:lang w:val="en-US" w:eastAsia="zh-CN"/>
        </w:rPr>
        <w:t xml:space="preserve"> at </w:t>
      </w:r>
      <w:r w:rsidR="00AB6CB2">
        <w:rPr>
          <w:rFonts w:ascii="Times New Roman" w:eastAsia="SimSun" w:hAnsi="Times New Roman" w:cs="Times New Roman"/>
          <w:sz w:val="22"/>
          <w:szCs w:val="22"/>
          <w:lang w:val="en-US" w:eastAsia="zh-CN"/>
        </w:rPr>
        <w:t>the beginning of DL transmission burst</w:t>
      </w:r>
      <w:r w:rsidR="00F274ED">
        <w:rPr>
          <w:rFonts w:ascii="Times New Roman" w:eastAsia="SimSun" w:hAnsi="Times New Roman" w:cs="Times New Roman"/>
          <w:sz w:val="22"/>
          <w:szCs w:val="22"/>
          <w:lang w:val="en-US" w:eastAsia="zh-CN"/>
        </w:rPr>
        <w:t>.</w:t>
      </w:r>
    </w:p>
    <w:p w14:paraId="19E04E5D" w14:textId="77777777" w:rsidR="004E343C" w:rsidRPr="008A440C" w:rsidRDefault="004E343C" w:rsidP="005D7B48">
      <w:pPr>
        <w:pStyle w:val="LGTdoc1"/>
        <w:spacing w:before="156" w:after="0" w:afterAutospacing="0"/>
        <w:rPr>
          <w:rFonts w:ascii="Times New Roman" w:eastAsia="SimSun" w:hAnsi="Times New Roman" w:cs="Times New Roman"/>
          <w:sz w:val="22"/>
          <w:szCs w:val="22"/>
          <w:highlight w:val="yellow"/>
          <w:lang w:val="en-US" w:eastAsia="zh-CN"/>
        </w:rPr>
      </w:pPr>
    </w:p>
    <w:p w14:paraId="24A981E4" w14:textId="77777777" w:rsidR="005D7B48" w:rsidRPr="00B438DE" w:rsidRDefault="005D7B48" w:rsidP="006751C0">
      <w:pPr>
        <w:pStyle w:val="LGTdoc1"/>
        <w:spacing w:before="156" w:after="0" w:afterAutospacing="0"/>
        <w:rPr>
          <w:rFonts w:ascii="Times New Roman" w:eastAsia="SimSun" w:hAnsi="Times New Roman" w:cs="Times New Roman"/>
          <w:sz w:val="22"/>
          <w:szCs w:val="22"/>
          <w:lang w:val="en-US" w:eastAsia="zh-CN"/>
        </w:rPr>
      </w:pPr>
    </w:p>
    <w:p w14:paraId="1F6C7A19" w14:textId="77777777" w:rsidR="00D50307" w:rsidRPr="00570A94" w:rsidRDefault="00D50307" w:rsidP="00461E70">
      <w:pPr>
        <w:pStyle w:val="2"/>
        <w:numPr>
          <w:ilvl w:val="1"/>
          <w:numId w:val="11"/>
        </w:numPr>
        <w:rPr>
          <w:snapToGrid w:val="0"/>
        </w:rPr>
      </w:pPr>
      <w:r w:rsidRPr="00570A94">
        <w:rPr>
          <w:snapToGrid w:val="0"/>
        </w:rPr>
        <w:lastRenderedPageBreak/>
        <w:t>UL BWP operation for a wideband carrier</w:t>
      </w:r>
    </w:p>
    <w:p w14:paraId="1F94E0CF" w14:textId="091055BF" w:rsidR="00D50307" w:rsidRDefault="00D50307" w:rsidP="00D50307">
      <w:pPr>
        <w:pStyle w:val="LGTdoc1"/>
        <w:spacing w:before="156" w:after="0" w:afterAutospacing="0"/>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According to the agreements</w:t>
      </w:r>
      <w:r>
        <w:rPr>
          <w:rFonts w:ascii="Times New Roman" w:eastAsia="SimSun" w:hAnsi="Times New Roman" w:cs="Times New Roman" w:hint="eastAsia"/>
          <w:b w:val="0"/>
          <w:sz w:val="22"/>
          <w:szCs w:val="22"/>
          <w:lang w:val="en-US" w:eastAsia="zh-CN"/>
        </w:rPr>
        <w:t xml:space="preserve"> </w:t>
      </w:r>
      <w:r>
        <w:rPr>
          <w:rFonts w:ascii="Times New Roman" w:eastAsia="SimSun" w:hAnsi="Times New Roman" w:cs="Times New Roman"/>
          <w:b w:val="0"/>
          <w:sz w:val="22"/>
          <w:szCs w:val="22"/>
          <w:lang w:val="en-US" w:eastAsia="zh-CN"/>
        </w:rPr>
        <w:t xml:space="preserve">in RAN1#96bis meeting, there are following two alternatives for UL transmission after CCA, and at least Alt. 1 is supported. Whether to support Alt. 2 requires further discussion. </w:t>
      </w:r>
    </w:p>
    <w:p w14:paraId="2D8122DE" w14:textId="77777777" w:rsidR="00D50307" w:rsidRPr="00004B6E" w:rsidRDefault="00D50307" w:rsidP="00461E70">
      <w:pPr>
        <w:pStyle w:val="LGTdoc1"/>
        <w:numPr>
          <w:ilvl w:val="0"/>
          <w:numId w:val="10"/>
        </w:numPr>
        <w:spacing w:before="156"/>
        <w:rPr>
          <w:rFonts w:ascii="Times New Roman" w:eastAsia="SimSun" w:hAnsi="Times New Roman" w:cs="Times New Roman"/>
          <w:b w:val="0"/>
          <w:i/>
          <w:sz w:val="22"/>
          <w:szCs w:val="22"/>
          <w:lang w:val="en-US" w:eastAsia="zh-CN"/>
        </w:rPr>
      </w:pPr>
      <w:r w:rsidRPr="00004B6E">
        <w:rPr>
          <w:rFonts w:ascii="Times New Roman" w:eastAsia="SimSun" w:hAnsi="Times New Roman" w:cs="Times New Roman"/>
          <w:b w:val="0"/>
          <w:i/>
          <w:sz w:val="22"/>
          <w:szCs w:val="22"/>
          <w:lang w:val="en-US" w:eastAsia="zh-CN"/>
        </w:rPr>
        <w:t>Alt. 1: UE transmits the PUSCH only if CCA is successful at UE in all LBT bandwidths of the scheduled PUSCH.</w:t>
      </w:r>
    </w:p>
    <w:p w14:paraId="4E2364EE" w14:textId="77777777" w:rsidR="00D50307" w:rsidRPr="00004B6E" w:rsidRDefault="00D50307" w:rsidP="00461E70">
      <w:pPr>
        <w:pStyle w:val="LGTdoc1"/>
        <w:numPr>
          <w:ilvl w:val="0"/>
          <w:numId w:val="10"/>
        </w:numPr>
        <w:spacing w:before="156" w:after="0" w:afterAutospacing="0"/>
        <w:rPr>
          <w:rFonts w:ascii="Times New Roman" w:eastAsia="SimSun" w:hAnsi="Times New Roman" w:cs="Times New Roman"/>
          <w:b w:val="0"/>
          <w:i/>
          <w:sz w:val="22"/>
          <w:szCs w:val="22"/>
          <w:lang w:val="en-US" w:eastAsia="zh-CN"/>
        </w:rPr>
      </w:pPr>
      <w:r w:rsidRPr="00004B6E">
        <w:rPr>
          <w:rFonts w:ascii="Times New Roman" w:eastAsia="SimSun" w:hAnsi="Times New Roman" w:cs="Times New Roman"/>
          <w:b w:val="0"/>
          <w:i/>
          <w:sz w:val="22"/>
          <w:szCs w:val="22"/>
          <w:lang w:val="en-US" w:eastAsia="zh-CN"/>
        </w:rPr>
        <w:t>Alt. 2: UE transmits the PUSCH in all or a subset of LBT bandwidths of the scheduled PUSCH for which CCA is successful at the UE.</w:t>
      </w:r>
    </w:p>
    <w:p w14:paraId="3EE3E6D6" w14:textId="77777777" w:rsidR="00D50307" w:rsidRDefault="00D50307" w:rsidP="00D50307">
      <w:pPr>
        <w:pStyle w:val="LGTdoc1"/>
        <w:spacing w:before="156" w:after="0" w:afterAutospacing="0"/>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 xml:space="preserve">Compared with Alt. 1, if a PUSCH is scheduled across LBT bandwidths, Alt. 2 could achieve higher resource efficiency. However, whether Alt.2 could be applied may </w:t>
      </w:r>
      <w:r w:rsidRPr="00287E1F">
        <w:rPr>
          <w:rFonts w:ascii="Times New Roman" w:eastAsia="SimSun" w:hAnsi="Times New Roman" w:cs="Times New Roman"/>
          <w:b w:val="0"/>
          <w:sz w:val="22"/>
          <w:szCs w:val="22"/>
          <w:lang w:val="en-US" w:eastAsia="zh-CN"/>
        </w:rPr>
        <w:t>depend on UE</w:t>
      </w:r>
      <w:r>
        <w:rPr>
          <w:rFonts w:ascii="Times New Roman" w:eastAsia="SimSun" w:hAnsi="Times New Roman" w:cs="Times New Roman"/>
          <w:b w:val="0"/>
          <w:sz w:val="22"/>
          <w:szCs w:val="22"/>
          <w:lang w:val="en-US" w:eastAsia="zh-CN"/>
        </w:rPr>
        <w:t xml:space="preserve"> capability</w:t>
      </w:r>
      <w:r w:rsidRPr="00287E1F">
        <w:rPr>
          <w:rFonts w:ascii="Times New Roman" w:eastAsia="SimSun" w:hAnsi="Times New Roman" w:cs="Times New Roman"/>
          <w:b w:val="0"/>
          <w:sz w:val="22"/>
          <w:szCs w:val="22"/>
          <w:lang w:val="en-US" w:eastAsia="zh-CN"/>
        </w:rPr>
        <w:t xml:space="preserve"> </w:t>
      </w:r>
      <w:r>
        <w:rPr>
          <w:rFonts w:ascii="Times New Roman" w:eastAsia="SimSun" w:hAnsi="Times New Roman" w:cs="Times New Roman"/>
          <w:b w:val="0"/>
          <w:sz w:val="22"/>
          <w:szCs w:val="22"/>
          <w:lang w:val="en-US" w:eastAsia="zh-CN"/>
        </w:rPr>
        <w:t>or</w:t>
      </w:r>
      <w:r w:rsidRPr="00287E1F">
        <w:rPr>
          <w:rFonts w:ascii="Times New Roman" w:eastAsia="SimSun" w:hAnsi="Times New Roman" w:cs="Times New Roman"/>
          <w:b w:val="0"/>
          <w:sz w:val="22"/>
          <w:szCs w:val="22"/>
          <w:lang w:val="en-US" w:eastAsia="zh-CN"/>
        </w:rPr>
        <w:t xml:space="preserve"> deployment</w:t>
      </w:r>
      <w:r>
        <w:rPr>
          <w:rFonts w:ascii="Times New Roman" w:eastAsia="SimSun" w:hAnsi="Times New Roman" w:cs="Times New Roman"/>
          <w:b w:val="0"/>
          <w:sz w:val="22"/>
          <w:szCs w:val="22"/>
          <w:lang w:val="en-US" w:eastAsia="zh-CN"/>
        </w:rPr>
        <w:t xml:space="preserve"> scenario. For example, if a UE is capable of adapting filtering timely based on CCA results to send part of a scheduled PUSCH, or if </w:t>
      </w:r>
      <w:r w:rsidRPr="008D6F65">
        <w:rPr>
          <w:rFonts w:ascii="Times New Roman" w:eastAsia="SimSun" w:hAnsi="Times New Roman" w:cs="Times New Roman"/>
          <w:b w:val="0"/>
          <w:sz w:val="22"/>
          <w:szCs w:val="22"/>
          <w:lang w:val="en-US" w:eastAsia="zh-CN"/>
        </w:rPr>
        <w:t>the absence of any other technology sharing the carrier can be guaranteed on a long term basis (e.g. by level of regulation)</w:t>
      </w:r>
      <w:r>
        <w:rPr>
          <w:rFonts w:ascii="Times New Roman" w:eastAsia="SimSun" w:hAnsi="Times New Roman" w:cs="Times New Roman"/>
          <w:b w:val="0"/>
          <w:sz w:val="22"/>
          <w:szCs w:val="22"/>
          <w:lang w:val="en-US" w:eastAsia="zh-CN"/>
        </w:rPr>
        <w:t xml:space="preserve">, the UE could be configured to transmit scheduled PUSCH by Alt.2. Otherwise, it should transmit by Alt.1. </w:t>
      </w:r>
    </w:p>
    <w:p w14:paraId="481B7A8E" w14:textId="77777777" w:rsidR="00D50307" w:rsidRPr="002B2FA9" w:rsidRDefault="00D50307" w:rsidP="00D50307">
      <w:pPr>
        <w:pStyle w:val="LGTdoc1"/>
        <w:spacing w:before="156" w:after="0" w:afterAutospacing="0"/>
        <w:rPr>
          <w:rFonts w:ascii="Times New Roman" w:eastAsia="SimSun" w:hAnsi="Times New Roman" w:cs="Times New Roman"/>
          <w:b w:val="0"/>
          <w:sz w:val="22"/>
          <w:szCs w:val="22"/>
          <w:lang w:val="en-US" w:eastAsia="zh-CN"/>
        </w:rPr>
      </w:pPr>
      <w:r w:rsidRPr="001D3B63">
        <w:rPr>
          <w:rFonts w:ascii="Times New Roman" w:eastAsia="SimSun" w:hAnsi="Times New Roman" w:cs="Times New Roman"/>
          <w:b w:val="0"/>
          <w:sz w:val="22"/>
          <w:szCs w:val="22"/>
          <w:lang w:val="en-US" w:eastAsia="zh-CN"/>
        </w:rPr>
        <w:t>I</w:t>
      </w:r>
      <w:r>
        <w:rPr>
          <w:rFonts w:ascii="Times New Roman" w:eastAsia="SimSun" w:hAnsi="Times New Roman" w:cs="Times New Roman"/>
          <w:b w:val="0"/>
          <w:sz w:val="22"/>
          <w:szCs w:val="22"/>
          <w:lang w:val="en-US" w:eastAsia="zh-CN"/>
        </w:rPr>
        <w:t xml:space="preserve">f Alt.2 is supported, it should be further discussed that how the gNB know the </w:t>
      </w:r>
      <w:r w:rsidRPr="001D03E7">
        <w:rPr>
          <w:rFonts w:ascii="Times New Roman" w:eastAsia="SimSun" w:hAnsi="Times New Roman" w:cs="Times New Roman"/>
          <w:b w:val="0"/>
          <w:sz w:val="22"/>
          <w:szCs w:val="22"/>
          <w:lang w:val="en-US" w:eastAsia="zh-CN"/>
        </w:rPr>
        <w:t>all or a subset of LBT bandwidths</w:t>
      </w:r>
      <w:r>
        <w:rPr>
          <w:rFonts w:ascii="Times New Roman" w:eastAsia="SimSun" w:hAnsi="Times New Roman" w:cs="Times New Roman"/>
          <w:b w:val="0"/>
          <w:sz w:val="22"/>
          <w:szCs w:val="22"/>
          <w:lang w:val="en-US" w:eastAsia="zh-CN"/>
        </w:rPr>
        <w:t xml:space="preserve"> where UE transmits the PUSCH, e.g. whether explicit signaling is necessary to be transmitted by the UE. </w:t>
      </w:r>
    </w:p>
    <w:p w14:paraId="6139791E" w14:textId="41A101E8" w:rsidR="00D50307" w:rsidRPr="00D50307" w:rsidRDefault="00D50307" w:rsidP="00D50307">
      <w:pPr>
        <w:pStyle w:val="LGTdoc1"/>
        <w:spacing w:before="156" w:after="0" w:afterAutospacing="0"/>
        <w:rPr>
          <w:rFonts w:ascii="Times New Roman" w:eastAsia="SimSun" w:hAnsi="Times New Roman" w:cs="Times New Roman"/>
          <w:sz w:val="22"/>
          <w:szCs w:val="22"/>
          <w:lang w:val="en-US" w:eastAsia="zh-CN"/>
        </w:rPr>
      </w:pPr>
      <w:r w:rsidRPr="00B438DE">
        <w:rPr>
          <w:rFonts w:ascii="Times New Roman" w:eastAsia="SimSun" w:hAnsi="Times New Roman" w:cs="Times New Roman" w:hint="eastAsia"/>
          <w:sz w:val="22"/>
          <w:szCs w:val="22"/>
          <w:lang w:val="en-US" w:eastAsia="zh-CN"/>
        </w:rPr>
        <w:t xml:space="preserve">Proposal </w:t>
      </w:r>
      <w:r w:rsidR="00F06030">
        <w:rPr>
          <w:rFonts w:ascii="Times New Roman" w:eastAsia="SimSun" w:hAnsi="Times New Roman" w:cs="Times New Roman"/>
          <w:sz w:val="22"/>
          <w:szCs w:val="22"/>
          <w:lang w:val="en-US" w:eastAsia="zh-CN"/>
        </w:rPr>
        <w:t>2</w:t>
      </w:r>
      <w:r>
        <w:rPr>
          <w:rFonts w:ascii="Times New Roman" w:eastAsia="SimSun" w:hAnsi="Times New Roman" w:cs="Times New Roman"/>
          <w:sz w:val="22"/>
          <w:szCs w:val="22"/>
          <w:lang w:val="en-US" w:eastAsia="zh-CN"/>
        </w:rPr>
        <w:t xml:space="preserve">: </w:t>
      </w:r>
      <w:r w:rsidRPr="001B03C3">
        <w:rPr>
          <w:rFonts w:ascii="Times New Roman" w:eastAsia="SimSun" w:hAnsi="Times New Roman" w:cs="Times New Roman"/>
          <w:sz w:val="22"/>
          <w:szCs w:val="22"/>
          <w:lang w:val="en-US" w:eastAsia="zh-CN"/>
        </w:rPr>
        <w:t>For UL transmissions in a serving cell with carrier bandwidth greater than LBT bandwidth, for the case where UE performs CCA before UL transmission</w:t>
      </w:r>
      <w:r>
        <w:rPr>
          <w:rFonts w:ascii="Times New Roman" w:eastAsia="SimSun" w:hAnsi="Times New Roman" w:cs="Times New Roman"/>
          <w:sz w:val="22"/>
          <w:szCs w:val="22"/>
          <w:lang w:val="en-US" w:eastAsia="zh-CN"/>
        </w:rPr>
        <w:t>,</w:t>
      </w:r>
      <w:r w:rsidRPr="00B438DE">
        <w:rPr>
          <w:rFonts w:ascii="Times New Roman" w:eastAsia="SimSun" w:hAnsi="Times New Roman" w:cs="Times New Roman"/>
          <w:sz w:val="22"/>
          <w:szCs w:val="22"/>
          <w:lang w:val="en-US" w:eastAsia="zh-CN"/>
        </w:rPr>
        <w:t xml:space="preserve"> </w:t>
      </w:r>
      <w:r>
        <w:rPr>
          <w:rFonts w:ascii="Times New Roman" w:eastAsia="SimSun" w:hAnsi="Times New Roman" w:cs="Times New Roman"/>
          <w:sz w:val="22"/>
          <w:szCs w:val="22"/>
          <w:lang w:val="en-US" w:eastAsia="zh-CN"/>
        </w:rPr>
        <w:t>Alt. 2 can be supported, subject to UE capability and deployment scenario</w:t>
      </w:r>
      <w:r w:rsidRPr="00B438DE">
        <w:rPr>
          <w:rFonts w:ascii="Times New Roman" w:eastAsia="SimSun" w:hAnsi="Times New Roman" w:cs="Times New Roman"/>
          <w:sz w:val="22"/>
          <w:szCs w:val="22"/>
          <w:lang w:val="en-US" w:eastAsia="zh-CN"/>
        </w:rPr>
        <w:t>.</w:t>
      </w:r>
    </w:p>
    <w:p w14:paraId="282DFA70" w14:textId="1AF57B29" w:rsidR="003971B9" w:rsidRPr="00D50307" w:rsidRDefault="001B03C3" w:rsidP="00461E70">
      <w:pPr>
        <w:pStyle w:val="1"/>
        <w:numPr>
          <w:ilvl w:val="0"/>
          <w:numId w:val="11"/>
        </w:numPr>
        <w:tabs>
          <w:tab w:val="num" w:pos="425"/>
        </w:tabs>
        <w:rPr>
          <w:b/>
          <w:snapToGrid w:val="0"/>
        </w:rPr>
      </w:pPr>
      <w:r w:rsidRPr="00D50307">
        <w:rPr>
          <w:b/>
          <w:snapToGrid w:val="0"/>
        </w:rPr>
        <w:t>Conclusion</w:t>
      </w:r>
    </w:p>
    <w:p w14:paraId="34FF9D7D" w14:textId="74DA94B9" w:rsidR="004E343C" w:rsidRDefault="006B0A00" w:rsidP="004E343C">
      <w:pPr>
        <w:pStyle w:val="LGTdoc1"/>
        <w:spacing w:before="156" w:after="0" w:afterAutospacing="0"/>
        <w:rPr>
          <w:rFonts w:ascii="Times New Roman" w:eastAsia="SimSun" w:hAnsi="Times New Roman" w:cs="Times New Roman"/>
          <w:b w:val="0"/>
          <w:sz w:val="22"/>
          <w:szCs w:val="22"/>
          <w:lang w:val="en-US" w:eastAsia="zh-CN"/>
        </w:rPr>
      </w:pPr>
      <w:r>
        <w:rPr>
          <w:rFonts w:ascii="Times New Roman" w:hAnsi="Times New Roman" w:cs="Times New Roman"/>
          <w:b w:val="0"/>
          <w:sz w:val="22"/>
          <w:szCs w:val="22"/>
          <w:lang w:val="en-US" w:eastAsia="ja-JP"/>
        </w:rPr>
        <w:t xml:space="preserve">In this contribution, we discussed </w:t>
      </w:r>
      <w:r w:rsidR="004C3FB8">
        <w:rPr>
          <w:rFonts w:ascii="Times New Roman" w:hAnsi="Times New Roman" w:cs="Times New Roman"/>
          <w:b w:val="0"/>
          <w:sz w:val="22"/>
          <w:szCs w:val="22"/>
          <w:lang w:val="en-US" w:eastAsia="ja-JP"/>
        </w:rPr>
        <w:t>wideband operation for DL and UL</w:t>
      </w:r>
      <w:r w:rsidR="004E343C" w:rsidRPr="005D7B48">
        <w:rPr>
          <w:rFonts w:ascii="Times New Roman" w:eastAsia="SimSun" w:hAnsi="Times New Roman" w:cs="Times New Roman"/>
          <w:b w:val="0"/>
          <w:sz w:val="22"/>
          <w:szCs w:val="22"/>
          <w:lang w:val="en-US" w:eastAsia="zh-CN"/>
        </w:rPr>
        <w:t>.</w:t>
      </w:r>
      <w:r w:rsidR="004C3FB8">
        <w:rPr>
          <w:rFonts w:ascii="Times New Roman" w:eastAsia="SimSun" w:hAnsi="Times New Roman" w:cs="Times New Roman"/>
          <w:b w:val="0"/>
          <w:sz w:val="22"/>
          <w:szCs w:val="22"/>
          <w:lang w:val="en-US" w:eastAsia="zh-CN"/>
        </w:rPr>
        <w:t xml:space="preserve"> The observations and proposals based on above discussion are summarized as follows,</w:t>
      </w:r>
    </w:p>
    <w:p w14:paraId="04D6AE90" w14:textId="77777777" w:rsidR="004C3FB8" w:rsidRPr="00127460" w:rsidRDefault="004C3FB8" w:rsidP="004C3FB8">
      <w:pPr>
        <w:pStyle w:val="LGTdoc1"/>
        <w:spacing w:before="156" w:after="0" w:afterAutospacing="0"/>
        <w:rPr>
          <w:rFonts w:ascii="Times New Roman" w:eastAsia="SimSun" w:hAnsi="Times New Roman" w:cs="Times New Roman"/>
          <w:sz w:val="22"/>
          <w:szCs w:val="22"/>
          <w:lang w:val="en-US" w:eastAsia="zh-CN"/>
        </w:rPr>
      </w:pPr>
    </w:p>
    <w:p w14:paraId="6A48B384" w14:textId="77777777" w:rsidR="00DF7D10" w:rsidRPr="00DF7D10" w:rsidRDefault="00DF7D10" w:rsidP="00DF7D10">
      <w:pPr>
        <w:pStyle w:val="LGTdoc1"/>
        <w:spacing w:before="156" w:after="0" w:afterAutospacing="0"/>
        <w:rPr>
          <w:rFonts w:ascii="Times New Roman" w:hAnsi="Times New Roman" w:cs="Times New Roman"/>
          <w:b w:val="0"/>
          <w:i/>
          <w:sz w:val="22"/>
          <w:szCs w:val="22"/>
          <w:u w:val="single"/>
          <w:lang w:val="en-US" w:eastAsia="ja-JP"/>
        </w:rPr>
      </w:pPr>
      <w:r w:rsidRPr="00DF7D10">
        <w:rPr>
          <w:rFonts w:ascii="Times New Roman" w:hAnsi="Times New Roman" w:cs="Times New Roman" w:hint="eastAsia"/>
          <w:b w:val="0"/>
          <w:i/>
          <w:sz w:val="22"/>
          <w:szCs w:val="22"/>
          <w:u w:val="single"/>
          <w:lang w:val="en-US" w:eastAsia="ja-JP"/>
        </w:rPr>
        <w:t>Sub</w:t>
      </w:r>
      <w:r w:rsidRPr="00DF7D10">
        <w:rPr>
          <w:rFonts w:ascii="Times New Roman" w:hAnsi="Times New Roman" w:cs="Times New Roman"/>
          <w:b w:val="0"/>
          <w:i/>
          <w:sz w:val="22"/>
          <w:szCs w:val="22"/>
          <w:u w:val="single"/>
          <w:lang w:val="en-US" w:eastAsia="ja-JP"/>
        </w:rPr>
        <w:t>b</w:t>
      </w:r>
      <w:r w:rsidRPr="00DF7D10">
        <w:rPr>
          <w:rFonts w:ascii="Times New Roman" w:hAnsi="Times New Roman" w:cs="Times New Roman" w:hint="eastAsia"/>
          <w:b w:val="0"/>
          <w:i/>
          <w:sz w:val="22"/>
          <w:szCs w:val="22"/>
          <w:u w:val="single"/>
          <w:lang w:val="en-US" w:eastAsia="ja-JP"/>
        </w:rPr>
        <w:t>and/</w:t>
      </w:r>
      <w:r w:rsidRPr="00DF7D10">
        <w:rPr>
          <w:rFonts w:ascii="Times New Roman" w:hAnsi="Times New Roman" w:cs="Times New Roman"/>
          <w:b w:val="0"/>
          <w:i/>
          <w:sz w:val="22"/>
          <w:szCs w:val="22"/>
          <w:u w:val="single"/>
          <w:lang w:val="en-US" w:eastAsia="ja-JP"/>
        </w:rPr>
        <w:t>Carrier</w:t>
      </w:r>
      <w:r w:rsidRPr="00DF7D10">
        <w:rPr>
          <w:rFonts w:ascii="Times New Roman" w:hAnsi="Times New Roman" w:cs="Times New Roman" w:hint="eastAsia"/>
          <w:b w:val="0"/>
          <w:i/>
          <w:sz w:val="22"/>
          <w:szCs w:val="22"/>
          <w:u w:val="single"/>
          <w:lang w:val="en-US" w:eastAsia="ja-JP"/>
        </w:rPr>
        <w:t xml:space="preserve"> usage information</w:t>
      </w:r>
    </w:p>
    <w:p w14:paraId="164E440B" w14:textId="77777777" w:rsidR="00F274ED" w:rsidRDefault="00F274ED" w:rsidP="00F274ED">
      <w:pPr>
        <w:pStyle w:val="LGTdoc1"/>
        <w:spacing w:before="156" w:after="0" w:afterAutospacing="0"/>
        <w:rPr>
          <w:rFonts w:ascii="Times New Roman" w:eastAsia="SimSun" w:hAnsi="Times New Roman" w:cs="Times New Roman"/>
          <w:sz w:val="22"/>
          <w:szCs w:val="22"/>
          <w:lang w:val="en-US" w:eastAsia="zh-CN"/>
        </w:rPr>
      </w:pPr>
      <w:r w:rsidRPr="00DF4D01">
        <w:rPr>
          <w:rFonts w:ascii="Times New Roman" w:eastAsia="SimSun" w:hAnsi="Times New Roman" w:cs="Times New Roman"/>
          <w:sz w:val="22"/>
          <w:szCs w:val="22"/>
          <w:lang w:val="en-US" w:eastAsia="zh-CN"/>
        </w:rPr>
        <w:t>Observation 1:</w:t>
      </w:r>
      <w:r>
        <w:rPr>
          <w:rFonts w:ascii="Times New Roman" w:eastAsia="SimSun" w:hAnsi="Times New Roman" w:cs="Times New Roman"/>
          <w:sz w:val="22"/>
          <w:szCs w:val="22"/>
          <w:lang w:val="en-US" w:eastAsia="zh-CN"/>
        </w:rPr>
        <w:t xml:space="preserve"> As for the usage information of carriers or LBT subbands, other than the agreed two states “not available” and “available”, the third state “unknown” exists to be used at the beginning of a DL transmission burst.</w:t>
      </w:r>
    </w:p>
    <w:p w14:paraId="53951F3B" w14:textId="77777777" w:rsidR="00F274ED" w:rsidRDefault="00F274ED" w:rsidP="00F274ED">
      <w:pPr>
        <w:pStyle w:val="LGTdoc1"/>
        <w:spacing w:before="156" w:after="0" w:afterAutospacing="0"/>
        <w:rPr>
          <w:rFonts w:ascii="Times New Roman" w:hAnsi="Times New Roman" w:cs="Times New Roman"/>
          <w:b w:val="0"/>
          <w:sz w:val="22"/>
          <w:szCs w:val="22"/>
          <w:lang w:val="en-US" w:eastAsia="ja-JP"/>
        </w:rPr>
      </w:pPr>
      <w:r w:rsidRPr="00DF4D01">
        <w:rPr>
          <w:rFonts w:ascii="Times New Roman" w:eastAsia="SimSun" w:hAnsi="Times New Roman" w:cs="Times New Roman"/>
          <w:sz w:val="22"/>
          <w:szCs w:val="22"/>
          <w:lang w:val="en-US" w:eastAsia="zh-CN"/>
        </w:rPr>
        <w:t xml:space="preserve">Observation </w:t>
      </w:r>
      <w:r>
        <w:rPr>
          <w:rFonts w:ascii="Times New Roman" w:eastAsia="SimSun" w:hAnsi="Times New Roman" w:cs="Times New Roman"/>
          <w:sz w:val="22"/>
          <w:szCs w:val="22"/>
          <w:lang w:val="en-US" w:eastAsia="zh-CN"/>
        </w:rPr>
        <w:t>2: From the viewpoint of PDCCH monitoring, the two states “unknown” and “available” can be combined into a state “may be available”.</w:t>
      </w:r>
    </w:p>
    <w:p w14:paraId="1ADBEDFB" w14:textId="77777777" w:rsidR="00F274ED" w:rsidRPr="00DE6DB8" w:rsidRDefault="00F274ED" w:rsidP="00F274ED">
      <w:pPr>
        <w:pStyle w:val="LGTdoc1"/>
        <w:spacing w:before="156"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Proposal 1: If only 1 bit is used for indicating usage information of a carrier or a LBT subband, the agreed two states “not available” and “available” should be revised to “not available” and “may be available” to support the transmission of usage information at the beginning of DL transmission burst.</w:t>
      </w:r>
    </w:p>
    <w:p w14:paraId="71D6AF5A" w14:textId="77777777" w:rsidR="004E343C" w:rsidRPr="00F274ED" w:rsidRDefault="004E343C" w:rsidP="004E343C">
      <w:pPr>
        <w:pStyle w:val="LGTdoc1"/>
        <w:spacing w:before="156" w:after="0" w:afterAutospacing="0"/>
        <w:rPr>
          <w:rFonts w:ascii="Times New Roman" w:hAnsi="Times New Roman" w:cs="Times New Roman"/>
          <w:b w:val="0"/>
          <w:sz w:val="22"/>
          <w:szCs w:val="22"/>
          <w:lang w:val="en-US" w:eastAsia="ja-JP"/>
        </w:rPr>
      </w:pPr>
      <w:bookmarkStart w:id="2" w:name="_GoBack"/>
      <w:bookmarkEnd w:id="2"/>
    </w:p>
    <w:p w14:paraId="79371C2E" w14:textId="77777777" w:rsidR="00F06030" w:rsidRPr="00B438DE" w:rsidRDefault="00F06030" w:rsidP="00F06030">
      <w:pPr>
        <w:pStyle w:val="LGTdoc1"/>
        <w:spacing w:before="156" w:after="0" w:afterAutospacing="0"/>
        <w:rPr>
          <w:rFonts w:ascii="Times New Roman" w:eastAsia="SimSun" w:hAnsi="Times New Roman" w:cs="Times New Roman"/>
          <w:b w:val="0"/>
          <w:i/>
          <w:sz w:val="22"/>
          <w:szCs w:val="22"/>
          <w:u w:val="single"/>
          <w:lang w:val="en-US" w:eastAsia="zh-CN"/>
        </w:rPr>
      </w:pPr>
      <w:r w:rsidRPr="00B438DE">
        <w:rPr>
          <w:rFonts w:ascii="Times New Roman" w:eastAsia="SimSun" w:hAnsi="Times New Roman" w:cs="Times New Roman"/>
          <w:b w:val="0"/>
          <w:i/>
          <w:sz w:val="22"/>
          <w:szCs w:val="22"/>
          <w:u w:val="single"/>
          <w:lang w:val="en-US" w:eastAsia="zh-CN"/>
        </w:rPr>
        <w:t>UL BWP operation for a wideband carrier</w:t>
      </w:r>
    </w:p>
    <w:p w14:paraId="52410BAB" w14:textId="58D2ED8F" w:rsidR="00F06030" w:rsidRDefault="00F06030" w:rsidP="00F06030">
      <w:pPr>
        <w:pStyle w:val="LGTdoc1"/>
        <w:spacing w:before="156" w:after="0" w:afterAutospacing="0"/>
        <w:rPr>
          <w:rFonts w:ascii="Times New Roman" w:eastAsia="SimSun" w:hAnsi="Times New Roman" w:cs="Times New Roman"/>
          <w:sz w:val="22"/>
          <w:szCs w:val="22"/>
          <w:lang w:val="en-US" w:eastAsia="zh-CN"/>
        </w:rPr>
      </w:pPr>
      <w:r w:rsidRPr="00B438DE">
        <w:rPr>
          <w:rFonts w:ascii="Times New Roman" w:eastAsia="SimSun" w:hAnsi="Times New Roman" w:cs="Times New Roman" w:hint="eastAsia"/>
          <w:sz w:val="22"/>
          <w:szCs w:val="22"/>
          <w:lang w:val="en-US" w:eastAsia="zh-CN"/>
        </w:rPr>
        <w:t xml:space="preserve">Proposal </w:t>
      </w:r>
      <w:r>
        <w:rPr>
          <w:rFonts w:ascii="Times New Roman" w:eastAsia="SimSun" w:hAnsi="Times New Roman" w:cs="Times New Roman"/>
          <w:sz w:val="22"/>
          <w:szCs w:val="22"/>
          <w:lang w:val="en-US" w:eastAsia="zh-CN"/>
        </w:rPr>
        <w:t xml:space="preserve">2: </w:t>
      </w:r>
      <w:r w:rsidRPr="001B03C3">
        <w:rPr>
          <w:rFonts w:ascii="Times New Roman" w:eastAsia="SimSun" w:hAnsi="Times New Roman" w:cs="Times New Roman"/>
          <w:sz w:val="22"/>
          <w:szCs w:val="22"/>
          <w:lang w:val="en-US" w:eastAsia="zh-CN"/>
        </w:rPr>
        <w:t>For UL transmissions in a serving cell with carrier bandwidth greater than LBT bandwidth, for the case where UE performs CCA before UL transmission</w:t>
      </w:r>
      <w:r>
        <w:rPr>
          <w:rFonts w:ascii="Times New Roman" w:eastAsia="SimSun" w:hAnsi="Times New Roman" w:cs="Times New Roman"/>
          <w:sz w:val="22"/>
          <w:szCs w:val="22"/>
          <w:lang w:val="en-US" w:eastAsia="zh-CN"/>
        </w:rPr>
        <w:t>,</w:t>
      </w:r>
      <w:r w:rsidRPr="00B438DE">
        <w:rPr>
          <w:rFonts w:ascii="Times New Roman" w:eastAsia="SimSun" w:hAnsi="Times New Roman" w:cs="Times New Roman"/>
          <w:sz w:val="22"/>
          <w:szCs w:val="22"/>
          <w:lang w:val="en-US" w:eastAsia="zh-CN"/>
        </w:rPr>
        <w:t xml:space="preserve"> </w:t>
      </w:r>
      <w:r>
        <w:rPr>
          <w:rFonts w:ascii="Times New Roman" w:eastAsia="SimSun" w:hAnsi="Times New Roman" w:cs="Times New Roman"/>
          <w:sz w:val="22"/>
          <w:szCs w:val="22"/>
          <w:lang w:val="en-US" w:eastAsia="zh-CN"/>
        </w:rPr>
        <w:t>Alt. 2 can be supported, subject to UE capability and deployment scenario</w:t>
      </w:r>
      <w:r w:rsidRPr="00B438DE">
        <w:rPr>
          <w:rFonts w:ascii="Times New Roman" w:eastAsia="SimSun" w:hAnsi="Times New Roman" w:cs="Times New Roman"/>
          <w:sz w:val="22"/>
          <w:szCs w:val="22"/>
          <w:lang w:val="en-US" w:eastAsia="zh-CN"/>
        </w:rPr>
        <w:t>.</w:t>
      </w:r>
    </w:p>
    <w:p w14:paraId="510962E6" w14:textId="77777777" w:rsidR="00DF7D10" w:rsidRPr="00F06030" w:rsidRDefault="00DF7D10" w:rsidP="004E343C">
      <w:pPr>
        <w:pStyle w:val="LGTdoc1"/>
        <w:spacing w:before="156" w:after="0" w:afterAutospacing="0"/>
        <w:rPr>
          <w:rFonts w:ascii="Times New Roman" w:hAnsi="Times New Roman" w:cs="Times New Roman"/>
          <w:b w:val="0"/>
          <w:sz w:val="22"/>
          <w:szCs w:val="22"/>
          <w:lang w:val="en-US" w:eastAsia="ja-JP"/>
        </w:rPr>
      </w:pPr>
    </w:p>
    <w:p w14:paraId="30430AC7" w14:textId="77777777" w:rsidR="00570A94" w:rsidRPr="00811A48" w:rsidRDefault="00570A94" w:rsidP="00570A94">
      <w:pPr>
        <w:pStyle w:val="LGTdoc1"/>
        <w:spacing w:beforeLines="0" w:before="100" w:beforeAutospacing="1"/>
        <w:outlineLvl w:val="0"/>
        <w:rPr>
          <w:szCs w:val="22"/>
          <w:lang w:val="en-US"/>
        </w:rPr>
      </w:pPr>
      <w:r w:rsidRPr="00811A48">
        <w:rPr>
          <w:szCs w:val="22"/>
          <w:lang w:val="en-US"/>
        </w:rPr>
        <w:t>References</w:t>
      </w:r>
    </w:p>
    <w:p w14:paraId="1701436C" w14:textId="77777777" w:rsidR="00570A94" w:rsidRDefault="00570A94" w:rsidP="00461E70">
      <w:pPr>
        <w:numPr>
          <w:ilvl w:val="0"/>
          <w:numId w:val="1"/>
        </w:numPr>
        <w:autoSpaceDE w:val="0"/>
        <w:autoSpaceDN w:val="0"/>
        <w:rPr>
          <w:rFonts w:ascii="Times New Roman" w:hAnsi="Times New Roman" w:cs="Times New Roman"/>
          <w:sz w:val="22"/>
          <w:lang w:val="en-GB"/>
        </w:rPr>
      </w:pPr>
      <w:r w:rsidRPr="00570A94">
        <w:rPr>
          <w:rFonts w:ascii="Times New Roman" w:hAnsi="Times New Roman" w:cs="Times New Roman"/>
          <w:sz w:val="22"/>
          <w:lang w:val="en-GB"/>
        </w:rPr>
        <w:t>R1-1906435</w:t>
      </w:r>
      <w:r>
        <w:rPr>
          <w:rFonts w:ascii="Times New Roman" w:hAnsi="Times New Roman" w:cs="Times New Roman"/>
          <w:sz w:val="22"/>
          <w:lang w:val="en-GB"/>
        </w:rPr>
        <w:t xml:space="preserve">, </w:t>
      </w:r>
      <w:r w:rsidRPr="00816DED">
        <w:rPr>
          <w:rFonts w:ascii="Times New Roman" w:hAnsi="Times New Roman" w:cs="Times New Roman"/>
          <w:sz w:val="22"/>
          <w:lang w:val="en-GB"/>
        </w:rPr>
        <w:t>On wideband operation for NR-U</w:t>
      </w:r>
      <w:r>
        <w:rPr>
          <w:rFonts w:ascii="Times New Roman" w:hAnsi="Times New Roman" w:cs="Times New Roman"/>
          <w:sz w:val="22"/>
          <w:lang w:val="en-GB"/>
        </w:rPr>
        <w:t>.</w:t>
      </w:r>
    </w:p>
    <w:p w14:paraId="26843285" w14:textId="77777777" w:rsidR="00570A94" w:rsidRDefault="00570A94" w:rsidP="00461E70">
      <w:pPr>
        <w:numPr>
          <w:ilvl w:val="0"/>
          <w:numId w:val="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 3GPP TSG RAN WG1 AH 1901 Meeting, Jan. 2019.</w:t>
      </w:r>
    </w:p>
    <w:p w14:paraId="3892D935" w14:textId="77777777" w:rsidR="00570A94" w:rsidRPr="00DF7D10" w:rsidRDefault="00570A94" w:rsidP="00461E70">
      <w:pPr>
        <w:numPr>
          <w:ilvl w:val="0"/>
          <w:numId w:val="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w:t>
      </w:r>
      <w:r>
        <w:rPr>
          <w:rFonts w:ascii="Times New Roman" w:hAnsi="Times New Roman" w:cs="Times New Roman"/>
          <w:sz w:val="22"/>
          <w:lang w:val="en-GB"/>
        </w:rPr>
        <w:t xml:space="preserve">#96bis </w:t>
      </w:r>
      <w:r w:rsidRPr="00476CE8">
        <w:rPr>
          <w:rFonts w:ascii="Times New Roman" w:hAnsi="Times New Roman" w:cs="Times New Roman"/>
          <w:sz w:val="22"/>
          <w:lang w:val="en-GB"/>
        </w:rPr>
        <w:t xml:space="preserve">final, 3GPP TSG RAN WG1 </w:t>
      </w:r>
      <w:r>
        <w:rPr>
          <w:rFonts w:ascii="Times New Roman" w:hAnsi="Times New Roman" w:cs="Times New Roman"/>
          <w:sz w:val="22"/>
          <w:lang w:val="en-GB"/>
        </w:rPr>
        <w:t>#96bis</w:t>
      </w:r>
      <w:r w:rsidRPr="00476CE8">
        <w:rPr>
          <w:rFonts w:ascii="Times New Roman" w:hAnsi="Times New Roman" w:cs="Times New Roman"/>
          <w:sz w:val="22"/>
          <w:lang w:val="en-GB"/>
        </w:rPr>
        <w:t xml:space="preserve"> Meeting,</w:t>
      </w:r>
      <w:r>
        <w:rPr>
          <w:rFonts w:ascii="Times New Roman" w:hAnsi="Times New Roman" w:cs="Times New Roman"/>
          <w:sz w:val="22"/>
          <w:lang w:val="en-GB"/>
        </w:rPr>
        <w:t xml:space="preserve"> Apr</w:t>
      </w:r>
      <w:r w:rsidRPr="00476CE8">
        <w:rPr>
          <w:rFonts w:ascii="Times New Roman" w:hAnsi="Times New Roman" w:cs="Times New Roman"/>
          <w:sz w:val="22"/>
          <w:lang w:val="en-GB"/>
        </w:rPr>
        <w:t>. 2019.</w:t>
      </w:r>
    </w:p>
    <w:p w14:paraId="2F281CD6" w14:textId="5C3582A8" w:rsidR="00CE72A9" w:rsidRPr="00CE72A9" w:rsidRDefault="00CE72A9" w:rsidP="003971B9">
      <w:pPr>
        <w:pStyle w:val="LGTdoc1"/>
        <w:spacing w:beforeLines="0" w:before="100" w:beforeAutospacing="1"/>
        <w:outlineLvl w:val="0"/>
        <w:rPr>
          <w:rFonts w:eastAsiaTheme="minorEastAsia"/>
          <w:szCs w:val="22"/>
          <w:lang w:val="en-US" w:eastAsia="zh-CN"/>
        </w:rPr>
      </w:pPr>
      <w:r>
        <w:rPr>
          <w:rFonts w:eastAsiaTheme="minorEastAsia" w:hint="eastAsia"/>
          <w:szCs w:val="22"/>
          <w:lang w:val="en-US" w:eastAsia="zh-CN"/>
        </w:rPr>
        <w:t>Appendix</w:t>
      </w:r>
    </w:p>
    <w:tbl>
      <w:tblPr>
        <w:tblStyle w:val="af1"/>
        <w:tblW w:w="0" w:type="auto"/>
        <w:tblLook w:val="04A0" w:firstRow="1" w:lastRow="0" w:firstColumn="1" w:lastColumn="0" w:noHBand="0" w:noVBand="1"/>
      </w:tblPr>
      <w:tblGrid>
        <w:gridCol w:w="1555"/>
        <w:gridCol w:w="8181"/>
      </w:tblGrid>
      <w:tr w:rsidR="00570A94" w:rsidRPr="00F27279" w14:paraId="0AB3D158" w14:textId="77777777" w:rsidTr="004426E2">
        <w:tc>
          <w:tcPr>
            <w:tcW w:w="1555" w:type="dxa"/>
          </w:tcPr>
          <w:p w14:paraId="7B49158A" w14:textId="617CF215" w:rsidR="00570A94" w:rsidRPr="00570A94" w:rsidRDefault="00570A94" w:rsidP="004426E2">
            <w:pPr>
              <w:widowControl/>
              <w:spacing w:before="240"/>
              <w:jc w:val="left"/>
              <w:rPr>
                <w:rFonts w:ascii="Times New Roman" w:hAnsi="Times New Roman" w:cs="Times New Roman"/>
                <w:i/>
                <w:kern w:val="0"/>
                <w:sz w:val="22"/>
                <w:szCs w:val="24"/>
                <w:u w:val="single"/>
                <w:lang w:val="en-GB"/>
              </w:rPr>
            </w:pPr>
            <w:r w:rsidRPr="00127460">
              <w:rPr>
                <w:rFonts w:ascii="Times New Roman" w:hAnsi="Times New Roman" w:cs="Times New Roman"/>
                <w:i/>
                <w:kern w:val="0"/>
                <w:sz w:val="22"/>
                <w:szCs w:val="24"/>
                <w:u w:val="single"/>
                <w:lang w:val="en-GB"/>
              </w:rPr>
              <w:t>RAN1 AH 1901</w:t>
            </w:r>
            <w:r w:rsidRPr="00127460">
              <w:rPr>
                <w:rFonts w:ascii="Times New Roman" w:hAnsi="Times New Roman" w:cs="Times New Roman"/>
                <w:i/>
                <w:kern w:val="0"/>
                <w:sz w:val="22"/>
                <w:szCs w:val="20"/>
                <w:u w:val="single"/>
                <w:vertAlign w:val="superscript"/>
                <w:lang w:val="en-GB"/>
              </w:rPr>
              <w:t>[2]</w:t>
            </w:r>
          </w:p>
        </w:tc>
        <w:tc>
          <w:tcPr>
            <w:tcW w:w="8181" w:type="dxa"/>
          </w:tcPr>
          <w:p w14:paraId="6367CD11" w14:textId="77777777" w:rsidR="00570A94" w:rsidRPr="00127460" w:rsidRDefault="00570A94" w:rsidP="00570A94">
            <w:pPr>
              <w:widowControl/>
              <w:spacing w:before="240"/>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highlight w:val="green"/>
                <w:lang w:val="en-GB" w:eastAsia="x-none"/>
              </w:rPr>
              <w:t>Agreement:</w:t>
            </w:r>
          </w:p>
          <w:p w14:paraId="2032EDB4" w14:textId="77777777" w:rsidR="00570A94" w:rsidRPr="00127460" w:rsidRDefault="00570A94" w:rsidP="00461E70">
            <w:pPr>
              <w:widowControl/>
              <w:numPr>
                <w:ilvl w:val="0"/>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 xml:space="preserve">For wideband operation in DL with a single serving cell operation </w:t>
            </w:r>
            <w:r w:rsidRPr="00127460">
              <w:rPr>
                <w:rFonts w:ascii="Times New Roman" w:eastAsia="Batang" w:hAnsi="Times New Roman" w:cs="Times New Roman"/>
                <w:kern w:val="0"/>
                <w:sz w:val="22"/>
                <w:szCs w:val="20"/>
                <w:lang w:val="en-GB" w:eastAsia="x-none"/>
              </w:rPr>
              <w:t>within a carrier with bandwidth larger than 20 MHz</w:t>
            </w:r>
          </w:p>
          <w:p w14:paraId="5CD5D4C7" w14:textId="77777777" w:rsidR="00570A94" w:rsidRPr="00127460" w:rsidRDefault="00570A94" w:rsidP="00461E70">
            <w:pPr>
              <w:widowControl/>
              <w:numPr>
                <w:ilvl w:val="1"/>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Multiple BWPs can be configured, single BWP activated, gNB may transmit PDSCH on parts or whole of single active BWP where CCA is successful at gNB (i.e., option 2 and 3 from previous agreement)</w:t>
            </w:r>
          </w:p>
          <w:p w14:paraId="1250AD96" w14:textId="77777777" w:rsidR="00570A94" w:rsidRPr="00127460" w:rsidRDefault="00570A94" w:rsidP="00461E70">
            <w:pPr>
              <w:widowControl/>
              <w:numPr>
                <w:ilvl w:val="2"/>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 xml:space="preserve">FFS: Restrictions on supportable gaps and combinations of gaps between discontiguous blocks where </w:t>
            </w:r>
          </w:p>
          <w:p w14:paraId="3C201E6C" w14:textId="77777777" w:rsidR="00570A94" w:rsidRPr="00127460" w:rsidRDefault="00570A94" w:rsidP="00461E70">
            <w:pPr>
              <w:widowControl/>
              <w:numPr>
                <w:ilvl w:val="3"/>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each block spans contiguous (one or) multiple successful LBT sub-bands</w:t>
            </w:r>
          </w:p>
          <w:p w14:paraId="373BE14A" w14:textId="77777777" w:rsidR="00570A94" w:rsidRPr="00127460" w:rsidRDefault="00570A94" w:rsidP="00461E70">
            <w:pPr>
              <w:widowControl/>
              <w:numPr>
                <w:ilvl w:val="3"/>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each gap spans one or multiple contiguous unsuccessful LBT sub-bands</w:t>
            </w:r>
          </w:p>
          <w:p w14:paraId="0F3E9560" w14:textId="77777777" w:rsidR="00570A94" w:rsidRPr="00127460" w:rsidRDefault="00570A94" w:rsidP="00461E70">
            <w:pPr>
              <w:widowControl/>
              <w:numPr>
                <w:ilvl w:val="2"/>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6EF52DE8" w14:textId="77777777" w:rsidR="00570A94" w:rsidRPr="00127460" w:rsidRDefault="00570A94" w:rsidP="00461E70">
            <w:pPr>
              <w:widowControl/>
              <w:numPr>
                <w:ilvl w:val="2"/>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Limit on the occupied LBT sub-bands due to regulation and coexistence considerations (not intended to imply that regulation and coexistence considerations will not be addressed)</w:t>
            </w:r>
          </w:p>
          <w:p w14:paraId="4EEF19A9" w14:textId="77777777" w:rsidR="00570A94" w:rsidRPr="00127460" w:rsidRDefault="00570A94" w:rsidP="00461E70">
            <w:pPr>
              <w:widowControl/>
              <w:numPr>
                <w:ilvl w:val="2"/>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Whether/how to indicate gNB’s transmitted LBT sub-bands</w:t>
            </w:r>
          </w:p>
          <w:p w14:paraId="45B85650" w14:textId="77777777" w:rsidR="00570A94" w:rsidRPr="00127460" w:rsidRDefault="00570A94" w:rsidP="00461E70">
            <w:pPr>
              <w:widowControl/>
              <w:numPr>
                <w:ilvl w:val="2"/>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Enhancements to PDCCH/PDSCH configuration/transmission for the parts of BWP where gNB does not transmit due to CCA failure</w:t>
            </w:r>
          </w:p>
          <w:p w14:paraId="39E1F06D" w14:textId="77777777" w:rsidR="00570A94" w:rsidRDefault="00570A94" w:rsidP="00461E70">
            <w:pPr>
              <w:widowControl/>
              <w:numPr>
                <w:ilvl w:val="0"/>
                <w:numId w:val="2"/>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Send LS to RAN4 to inform above decision with the description that RAN1 requires RAN4’s feedback on the first three FFS parts in addition to what was requested in earlier LSs.</w:t>
            </w:r>
          </w:p>
          <w:p w14:paraId="45AD11B2" w14:textId="77777777" w:rsidR="00570A94" w:rsidRDefault="00570A94" w:rsidP="00570A94">
            <w:pPr>
              <w:widowControl/>
              <w:jc w:val="left"/>
              <w:rPr>
                <w:rFonts w:ascii="Times New Roman" w:eastAsia="Batang" w:hAnsi="Times New Roman" w:cs="Times New Roman"/>
                <w:kern w:val="0"/>
                <w:sz w:val="22"/>
                <w:szCs w:val="20"/>
                <w:lang w:eastAsia="x-none"/>
              </w:rPr>
            </w:pPr>
          </w:p>
          <w:p w14:paraId="1B8CC065" w14:textId="77777777" w:rsidR="00570A94" w:rsidRPr="00127460" w:rsidRDefault="00570A94" w:rsidP="00570A94">
            <w:pPr>
              <w:widowControl/>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highlight w:val="green"/>
                <w:lang w:val="en-GB" w:eastAsia="x-none"/>
              </w:rPr>
              <w:t>Agreement:</w:t>
            </w:r>
          </w:p>
          <w:p w14:paraId="01BD974C" w14:textId="77777777" w:rsidR="00570A94" w:rsidRPr="00127460" w:rsidRDefault="00570A94" w:rsidP="00570A94">
            <w:pPr>
              <w:widowControl/>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lang w:val="en-GB" w:eastAsia="x-none"/>
              </w:rPr>
              <w:t>Operation with multiple active BWPs for a carrier on unlicensed bands is not supported for DL or UL at least in Rel-16 NR-U WI.</w:t>
            </w:r>
          </w:p>
          <w:p w14:paraId="6140B6DB" w14:textId="0F932880" w:rsidR="00570A94" w:rsidRPr="00570A94" w:rsidRDefault="00570A94" w:rsidP="00461E70">
            <w:pPr>
              <w:widowControl/>
              <w:numPr>
                <w:ilvl w:val="0"/>
                <w:numId w:val="3"/>
              </w:numPr>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lang w:val="en-GB" w:eastAsia="x-none"/>
              </w:rPr>
              <w:t>Inform RAN2 of this decision</w:t>
            </w:r>
          </w:p>
        </w:tc>
      </w:tr>
      <w:tr w:rsidR="00570A94" w:rsidRPr="00F27279" w14:paraId="50BBB37C" w14:textId="77777777" w:rsidTr="004426E2">
        <w:tc>
          <w:tcPr>
            <w:tcW w:w="1555" w:type="dxa"/>
          </w:tcPr>
          <w:p w14:paraId="1058DD60" w14:textId="11E9863D" w:rsidR="00570A94" w:rsidRPr="00570A94" w:rsidRDefault="00570A94" w:rsidP="004426E2">
            <w:pPr>
              <w:widowControl/>
              <w:spacing w:before="240"/>
              <w:jc w:val="left"/>
              <w:rPr>
                <w:rFonts w:ascii="Times New Roman" w:hAnsi="Times New Roman" w:cs="Times New Roman"/>
                <w:i/>
                <w:kern w:val="0"/>
                <w:sz w:val="22"/>
                <w:szCs w:val="24"/>
                <w:u w:val="single"/>
                <w:lang w:val="en-GB"/>
              </w:rPr>
            </w:pPr>
            <w:r w:rsidRPr="00127460">
              <w:rPr>
                <w:rFonts w:ascii="Times New Roman" w:hAnsi="Times New Roman" w:cs="Times New Roman"/>
                <w:i/>
                <w:kern w:val="0"/>
                <w:sz w:val="22"/>
                <w:szCs w:val="24"/>
                <w:u w:val="single"/>
                <w:lang w:val="en-GB"/>
              </w:rPr>
              <w:t>RAN1#96bis</w:t>
            </w:r>
            <w:r w:rsidRPr="00127460">
              <w:rPr>
                <w:rFonts w:ascii="Times New Roman" w:hAnsi="Times New Roman" w:cs="Times New Roman"/>
                <w:i/>
                <w:kern w:val="0"/>
                <w:sz w:val="22"/>
                <w:szCs w:val="20"/>
                <w:u w:val="single"/>
                <w:vertAlign w:val="superscript"/>
                <w:lang w:val="en-GB"/>
              </w:rPr>
              <w:t>[3]</w:t>
            </w:r>
          </w:p>
        </w:tc>
        <w:tc>
          <w:tcPr>
            <w:tcW w:w="8181" w:type="dxa"/>
          </w:tcPr>
          <w:p w14:paraId="6F62AEBB" w14:textId="77777777" w:rsidR="00570A94" w:rsidRPr="00127460" w:rsidRDefault="00570A94" w:rsidP="00570A94">
            <w:pPr>
              <w:widowControl/>
              <w:spacing w:before="240"/>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highlight w:val="green"/>
                <w:lang w:val="en-GB" w:eastAsia="x-none"/>
              </w:rPr>
              <w:t>Agreement:</w:t>
            </w:r>
          </w:p>
          <w:p w14:paraId="37D6249D" w14:textId="77777777" w:rsidR="00570A94" w:rsidRPr="00127460" w:rsidRDefault="00570A94" w:rsidP="00570A94">
            <w:pPr>
              <w:widowControl/>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For UL transmissions in a serving cell with carrier bandwidth greater than LBT bandwidth, for the case where UE performs CCA before UL transmission, support at least Alt. 1 among the following alternatives</w:t>
            </w:r>
          </w:p>
          <w:p w14:paraId="2D475C00" w14:textId="77777777" w:rsidR="00570A94" w:rsidRPr="00127460" w:rsidRDefault="00570A94" w:rsidP="00461E70">
            <w:pPr>
              <w:widowControl/>
              <w:numPr>
                <w:ilvl w:val="0"/>
                <w:numId w:val="5"/>
              </w:numPr>
              <w:ind w:left="36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Alt. 1: UE transmits the PUSCH only if CCA is successful at UE in all LBT bandwidths of the scheduled PUSCH.</w:t>
            </w:r>
          </w:p>
          <w:p w14:paraId="25A131FC" w14:textId="77777777" w:rsidR="00570A94" w:rsidRPr="00127460" w:rsidRDefault="00570A94" w:rsidP="00461E70">
            <w:pPr>
              <w:widowControl/>
              <w:numPr>
                <w:ilvl w:val="0"/>
                <w:numId w:val="4"/>
              </w:numPr>
              <w:ind w:left="36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Alt. 2: </w:t>
            </w:r>
            <w:r w:rsidRPr="00127460">
              <w:rPr>
                <w:rFonts w:ascii="Times New Roman" w:eastAsia="Batang" w:hAnsi="Times New Roman" w:cs="Times New Roman"/>
                <w:bCs/>
                <w:kern w:val="0"/>
                <w:sz w:val="22"/>
                <w:szCs w:val="24"/>
                <w:lang w:val="en-GB" w:eastAsia="x-none"/>
              </w:rPr>
              <w:t xml:space="preserve">UE transmits the PUSCH in all or a subset of LBT bandwidths of the scheduled PUSCH for which CCA is successful at the UE. </w:t>
            </w:r>
          </w:p>
          <w:p w14:paraId="34075D0D" w14:textId="77777777" w:rsidR="00570A94" w:rsidRPr="00127460" w:rsidRDefault="00570A94" w:rsidP="00461E70">
            <w:pPr>
              <w:widowControl/>
              <w:numPr>
                <w:ilvl w:val="1"/>
                <w:numId w:val="4"/>
              </w:numPr>
              <w:ind w:leftChars="343" w:left="108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Decision on whether this alternative is supported will depend on feedback from RAN4</w:t>
            </w:r>
          </w:p>
          <w:p w14:paraId="198980A9" w14:textId="77777777" w:rsidR="00570A94" w:rsidRPr="00127460" w:rsidRDefault="00570A94" w:rsidP="00461E70">
            <w:pPr>
              <w:widowControl/>
              <w:numPr>
                <w:ilvl w:val="1"/>
                <w:numId w:val="4"/>
              </w:numPr>
              <w:ind w:leftChars="343" w:left="108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bCs/>
                <w:kern w:val="0"/>
                <w:sz w:val="22"/>
                <w:szCs w:val="24"/>
                <w:lang w:eastAsia="x-none"/>
              </w:rPr>
              <w:t>FFS on restrictions to the subset of LBT bandwidths, e.g., only contiguous LBT bandwidths allowed, based on feedback from RAN4</w:t>
            </w:r>
          </w:p>
          <w:p w14:paraId="4B198B11" w14:textId="77777777" w:rsidR="00570A94" w:rsidRPr="00127460" w:rsidRDefault="00570A94" w:rsidP="00461E70">
            <w:pPr>
              <w:widowControl/>
              <w:numPr>
                <w:ilvl w:val="0"/>
                <w:numId w:val="6"/>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Necessity of guard bands within the scheduled PUSCH should be determined by RAN4</w:t>
            </w:r>
          </w:p>
          <w:p w14:paraId="2DF8E371" w14:textId="77777777" w:rsidR="00570A94" w:rsidRPr="00127460" w:rsidRDefault="00570A94" w:rsidP="00461E70">
            <w:pPr>
              <w:widowControl/>
              <w:numPr>
                <w:ilvl w:val="0"/>
                <w:numId w:val="6"/>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FFS: Whether this applies also to configured grant PUSCH</w:t>
            </w:r>
          </w:p>
          <w:p w14:paraId="4359D0D5" w14:textId="77777777" w:rsidR="00570A94" w:rsidRDefault="00570A94" w:rsidP="00461E70">
            <w:pPr>
              <w:widowControl/>
              <w:numPr>
                <w:ilvl w:val="0"/>
                <w:numId w:val="6"/>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FFS: Whether this applies also to PUCCH</w:t>
            </w:r>
          </w:p>
          <w:p w14:paraId="67AD5A03" w14:textId="77777777" w:rsidR="00570A94" w:rsidRDefault="00570A94" w:rsidP="00570A94">
            <w:pPr>
              <w:widowControl/>
              <w:jc w:val="left"/>
              <w:rPr>
                <w:rFonts w:ascii="Times New Roman" w:eastAsia="Batang" w:hAnsi="Times New Roman" w:cs="Times New Roman"/>
                <w:kern w:val="0"/>
                <w:sz w:val="22"/>
                <w:szCs w:val="24"/>
                <w:lang w:eastAsia="x-none"/>
              </w:rPr>
            </w:pPr>
          </w:p>
          <w:p w14:paraId="00630EBE" w14:textId="77777777" w:rsidR="00570A94" w:rsidRPr="00127460" w:rsidRDefault="00570A94" w:rsidP="00570A94">
            <w:pPr>
              <w:widowControl/>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highlight w:val="green"/>
                <w:lang w:eastAsia="x-none"/>
              </w:rPr>
              <w:t>Agreement:</w:t>
            </w:r>
          </w:p>
          <w:p w14:paraId="733946D8" w14:textId="77777777" w:rsidR="00570A94" w:rsidRPr="00127460" w:rsidRDefault="00570A94" w:rsidP="00461E70">
            <w:pPr>
              <w:widowControl/>
              <w:numPr>
                <w:ilvl w:val="0"/>
                <w:numId w:val="9"/>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Support a mechanism for a UE to detect gNB is transmitting across</w:t>
            </w:r>
          </w:p>
          <w:p w14:paraId="775FB2AB" w14:textId="77777777" w:rsidR="00570A94" w:rsidRPr="00127460" w:rsidRDefault="00570A94" w:rsidP="00461E70">
            <w:pPr>
              <w:widowControl/>
              <w:numPr>
                <w:ilvl w:val="0"/>
                <w:numId w:val="8"/>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Multiple carriers </w:t>
            </w:r>
          </w:p>
          <w:p w14:paraId="2D564F6C" w14:textId="77777777" w:rsidR="00570A94" w:rsidRPr="00127460" w:rsidRDefault="00570A94" w:rsidP="00461E70">
            <w:pPr>
              <w:widowControl/>
              <w:numPr>
                <w:ilvl w:val="0"/>
                <w:numId w:val="8"/>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Multiple LBT bandwidths in a carrier. </w:t>
            </w:r>
          </w:p>
          <w:p w14:paraId="63319B1A" w14:textId="77777777" w:rsidR="00570A94" w:rsidRPr="00127460" w:rsidRDefault="00570A94" w:rsidP="00461E70">
            <w:pPr>
              <w:widowControl/>
              <w:numPr>
                <w:ilvl w:val="0"/>
                <w:numId w:val="9"/>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The following mechanisms are to be considered:</w:t>
            </w:r>
          </w:p>
          <w:p w14:paraId="01182F7B" w14:textId="77777777" w:rsidR="00570A94" w:rsidRPr="00127460" w:rsidRDefault="00570A94" w:rsidP="00461E70">
            <w:pPr>
              <w:widowControl/>
              <w:numPr>
                <w:ilvl w:val="0"/>
                <w:numId w:val="7"/>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Option 1: Explicit indication via PDCCH</w:t>
            </w:r>
          </w:p>
          <w:p w14:paraId="17E23EE7" w14:textId="77777777" w:rsidR="00570A94" w:rsidRPr="00127460" w:rsidRDefault="00570A94" w:rsidP="00461E70">
            <w:pPr>
              <w:widowControl/>
              <w:numPr>
                <w:ilvl w:val="1"/>
                <w:numId w:val="7"/>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FFS: The type of PDCCH (e.g., group common PDCCH or UE-specific PDCCH)</w:t>
            </w:r>
          </w:p>
          <w:p w14:paraId="5D93E6C1" w14:textId="77777777" w:rsidR="00570A94" w:rsidRPr="00127460" w:rsidRDefault="00570A94" w:rsidP="00461E70">
            <w:pPr>
              <w:widowControl/>
              <w:numPr>
                <w:ilvl w:val="1"/>
                <w:numId w:val="7"/>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FFS: Signaling details of the indication</w:t>
            </w:r>
          </w:p>
          <w:p w14:paraId="0E08605B" w14:textId="77777777" w:rsidR="00570A94" w:rsidRPr="00127460" w:rsidRDefault="00570A94" w:rsidP="00461E70">
            <w:pPr>
              <w:widowControl/>
              <w:numPr>
                <w:ilvl w:val="0"/>
                <w:numId w:val="7"/>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Option 2: Explicit indication via selection of a PDCCH DM-RS sequence from a set of PDCCH DM-RS sequences</w:t>
            </w:r>
          </w:p>
          <w:p w14:paraId="726543F2" w14:textId="77777777" w:rsidR="00570A94" w:rsidRPr="00127460" w:rsidRDefault="00570A94" w:rsidP="00461E70">
            <w:pPr>
              <w:widowControl/>
              <w:numPr>
                <w:ilvl w:val="1"/>
                <w:numId w:val="7"/>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FFS: Details of the indication</w:t>
            </w:r>
          </w:p>
          <w:p w14:paraId="31EC804B" w14:textId="77777777" w:rsidR="00570A94" w:rsidRPr="00127460" w:rsidRDefault="00570A94" w:rsidP="00461E70">
            <w:pPr>
              <w:widowControl/>
              <w:numPr>
                <w:ilvl w:val="0"/>
                <w:numId w:val="7"/>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Option 3: Via UE implementation, i.e., implicit method based on NR-based signal such as DM-RS and/or corresponding PDCCH detection</w:t>
            </w:r>
          </w:p>
          <w:p w14:paraId="59028DF1" w14:textId="77777777" w:rsidR="00570A94" w:rsidRPr="00127460" w:rsidRDefault="00570A94" w:rsidP="00461E70">
            <w:pPr>
              <w:widowControl/>
              <w:numPr>
                <w:ilvl w:val="1"/>
                <w:numId w:val="7"/>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FFS: Which signals/channels or combination of signals/channels could be used by the UE</w:t>
            </w:r>
          </w:p>
          <w:p w14:paraId="3C317754" w14:textId="3F4DF3AB" w:rsidR="00570A94" w:rsidRPr="00570A94" w:rsidRDefault="00570A94" w:rsidP="00461E70">
            <w:pPr>
              <w:widowControl/>
              <w:numPr>
                <w:ilvl w:val="0"/>
                <w:numId w:val="7"/>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Note: Above options are not mutually exclusive</w:t>
            </w:r>
          </w:p>
        </w:tc>
      </w:tr>
      <w:tr w:rsidR="008A440C" w:rsidRPr="00F27279" w14:paraId="3F8EC7F9" w14:textId="77777777" w:rsidTr="004426E2">
        <w:tc>
          <w:tcPr>
            <w:tcW w:w="1555" w:type="dxa"/>
          </w:tcPr>
          <w:p w14:paraId="7F6B9A5F" w14:textId="77777777" w:rsidR="008A440C" w:rsidRPr="00127460" w:rsidRDefault="008A440C" w:rsidP="008A440C">
            <w:pPr>
              <w:widowControl/>
              <w:spacing w:before="240"/>
              <w:jc w:val="left"/>
              <w:rPr>
                <w:rFonts w:ascii="Times New Roman" w:hAnsi="Times New Roman" w:cs="Times New Roman"/>
                <w:i/>
                <w:kern w:val="0"/>
                <w:sz w:val="22"/>
                <w:szCs w:val="24"/>
                <w:u w:val="single"/>
                <w:lang w:val="en-GB"/>
              </w:rPr>
            </w:pPr>
            <w:r w:rsidRPr="00127460">
              <w:rPr>
                <w:rFonts w:ascii="Times New Roman" w:hAnsi="Times New Roman" w:cs="Times New Roman"/>
                <w:i/>
                <w:kern w:val="0"/>
                <w:sz w:val="22"/>
                <w:szCs w:val="24"/>
                <w:u w:val="single"/>
                <w:lang w:val="en-GB"/>
              </w:rPr>
              <w:t>RAN</w:t>
            </w:r>
            <w:r>
              <w:rPr>
                <w:rFonts w:ascii="Times New Roman" w:hAnsi="Times New Roman" w:cs="Times New Roman"/>
                <w:i/>
                <w:kern w:val="0"/>
                <w:sz w:val="22"/>
                <w:szCs w:val="24"/>
                <w:u w:val="single"/>
                <w:lang w:val="en-GB"/>
              </w:rPr>
              <w:t>1#97</w:t>
            </w:r>
            <w:r w:rsidRPr="00127460">
              <w:rPr>
                <w:rFonts w:ascii="Times New Roman" w:hAnsi="Times New Roman" w:cs="Times New Roman"/>
                <w:i/>
                <w:kern w:val="0"/>
                <w:sz w:val="22"/>
                <w:szCs w:val="20"/>
                <w:u w:val="single"/>
                <w:vertAlign w:val="superscript"/>
                <w:lang w:val="en-GB"/>
              </w:rPr>
              <w:t>[3]</w:t>
            </w:r>
          </w:p>
          <w:p w14:paraId="5F360301" w14:textId="77777777" w:rsidR="008A440C" w:rsidRPr="00127460" w:rsidRDefault="008A440C" w:rsidP="004426E2">
            <w:pPr>
              <w:widowControl/>
              <w:spacing w:before="240"/>
              <w:jc w:val="left"/>
              <w:rPr>
                <w:rFonts w:ascii="Times New Roman" w:hAnsi="Times New Roman" w:cs="Times New Roman"/>
                <w:i/>
                <w:kern w:val="0"/>
                <w:sz w:val="22"/>
                <w:szCs w:val="24"/>
                <w:u w:val="single"/>
                <w:lang w:val="en-GB"/>
              </w:rPr>
            </w:pPr>
          </w:p>
        </w:tc>
        <w:tc>
          <w:tcPr>
            <w:tcW w:w="8181" w:type="dxa"/>
          </w:tcPr>
          <w:p w14:paraId="3A472C0E" w14:textId="77777777" w:rsidR="008A440C" w:rsidRDefault="008A440C" w:rsidP="008A440C">
            <w:r w:rsidRPr="00F45643">
              <w:rPr>
                <w:highlight w:val="green"/>
              </w:rPr>
              <w:t>Agreement:</w:t>
            </w:r>
          </w:p>
          <w:p w14:paraId="5771F4C5" w14:textId="77777777" w:rsidR="008A440C" w:rsidRPr="004618FF" w:rsidRDefault="008A440C" w:rsidP="008A440C">
            <w:pPr>
              <w:pStyle w:val="ae"/>
              <w:spacing w:after="160" w:line="252" w:lineRule="auto"/>
              <w:contextualSpacing/>
              <w:rPr>
                <w:rFonts w:ascii="Calibri" w:hAnsi="Calibri"/>
                <w:sz w:val="24"/>
              </w:rPr>
            </w:pPr>
            <w:r w:rsidRPr="004618FF">
              <w:rPr>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49C818AF" w14:textId="77777777" w:rsidR="008A440C" w:rsidRPr="004618FF" w:rsidRDefault="008A440C" w:rsidP="008A440C">
            <w:pPr>
              <w:pStyle w:val="ae"/>
              <w:widowControl/>
              <w:numPr>
                <w:ilvl w:val="0"/>
                <w:numId w:val="12"/>
              </w:numPr>
              <w:spacing w:after="160" w:line="252" w:lineRule="auto"/>
              <w:ind w:left="360" w:firstLineChars="0"/>
              <w:contextualSpacing/>
              <w:jc w:val="left"/>
              <w:rPr>
                <w:rFonts w:ascii="Calibri" w:hAnsi="Calibri"/>
              </w:rPr>
            </w:pPr>
            <w:r w:rsidRPr="004618FF">
              <w:rPr>
                <w:lang w:eastAsia="ko-KR"/>
              </w:rPr>
              <w:t>FFS: Signalling details of the indication, including e.g., the time domain validity of the indication</w:t>
            </w:r>
          </w:p>
          <w:p w14:paraId="1C67D9BA" w14:textId="77777777" w:rsidR="008A440C" w:rsidRPr="004618FF" w:rsidRDefault="008A440C" w:rsidP="008A440C">
            <w:pPr>
              <w:pStyle w:val="ae"/>
              <w:widowControl/>
              <w:numPr>
                <w:ilvl w:val="0"/>
                <w:numId w:val="12"/>
              </w:numPr>
              <w:spacing w:after="160" w:line="252" w:lineRule="auto"/>
              <w:ind w:left="360" w:firstLineChars="0"/>
              <w:contextualSpacing/>
              <w:jc w:val="left"/>
              <w:rPr>
                <w:lang w:eastAsia="ko-KR"/>
              </w:rPr>
            </w:pPr>
            <w:r w:rsidRPr="004618FF">
              <w:rPr>
                <w:lang w:eastAsia="ko-KR"/>
              </w:rPr>
              <w:t>FFS: Whether and how to support the mechanism at the beginning of DL transmission burst</w:t>
            </w:r>
          </w:p>
          <w:p w14:paraId="57187A7A" w14:textId="77777777" w:rsidR="008A440C" w:rsidRPr="004618FF" w:rsidRDefault="008A440C" w:rsidP="008A440C">
            <w:pPr>
              <w:pStyle w:val="ae"/>
              <w:widowControl/>
              <w:numPr>
                <w:ilvl w:val="0"/>
                <w:numId w:val="12"/>
              </w:numPr>
              <w:spacing w:after="160" w:line="252" w:lineRule="auto"/>
              <w:ind w:left="360" w:firstLineChars="0"/>
              <w:contextualSpacing/>
              <w:jc w:val="left"/>
              <w:rPr>
                <w:lang w:eastAsia="ko-KR"/>
              </w:rPr>
            </w:pPr>
            <w:r w:rsidRPr="004618FF">
              <w:rPr>
                <w:lang w:eastAsia="ko-KR"/>
              </w:rPr>
              <w:t>FFS: Whether and how to handle the case when GC-PDCCH is not configured or not received by the UE</w:t>
            </w:r>
          </w:p>
          <w:p w14:paraId="361E32C7" w14:textId="77777777" w:rsidR="008A440C" w:rsidRPr="00530A3F" w:rsidRDefault="008A440C" w:rsidP="00570A94">
            <w:pPr>
              <w:widowControl/>
              <w:spacing w:before="240"/>
              <w:jc w:val="left"/>
              <w:rPr>
                <w:rFonts w:ascii="Times New Roman" w:eastAsia="Batang" w:hAnsi="Times New Roman" w:cs="Times New Roman"/>
                <w:kern w:val="0"/>
                <w:sz w:val="22"/>
                <w:szCs w:val="24"/>
                <w:highlight w:val="green"/>
                <w:lang w:eastAsia="x-none"/>
              </w:rPr>
            </w:pPr>
          </w:p>
        </w:tc>
      </w:tr>
      <w:bookmarkEnd w:id="0"/>
    </w:tbl>
    <w:p w14:paraId="5AD4A2AD" w14:textId="77777777" w:rsidR="00CE72A9" w:rsidRPr="00127460" w:rsidRDefault="00CE72A9" w:rsidP="00CE72A9">
      <w:pPr>
        <w:widowControl/>
        <w:ind w:left="360"/>
        <w:jc w:val="left"/>
        <w:rPr>
          <w:rFonts w:ascii="Times New Roman" w:eastAsia="Batang" w:hAnsi="Times New Roman" w:cs="Times New Roman"/>
          <w:kern w:val="0"/>
          <w:sz w:val="22"/>
          <w:szCs w:val="20"/>
          <w:lang w:eastAsia="x-none"/>
        </w:rPr>
      </w:pPr>
    </w:p>
    <w:sectPr w:rsidR="00CE72A9" w:rsidRPr="00127460"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B19C7" w14:textId="77777777" w:rsidR="00672C55" w:rsidRDefault="00672C55" w:rsidP="00DE233D">
      <w:r>
        <w:separator/>
      </w:r>
    </w:p>
  </w:endnote>
  <w:endnote w:type="continuationSeparator" w:id="0">
    <w:p w14:paraId="7E0678FF" w14:textId="77777777" w:rsidR="00672C55" w:rsidRDefault="00672C5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78E30" w14:textId="77777777" w:rsidR="00672C55" w:rsidRDefault="00672C55" w:rsidP="00DE233D">
      <w:r>
        <w:separator/>
      </w:r>
    </w:p>
  </w:footnote>
  <w:footnote w:type="continuationSeparator" w:id="0">
    <w:p w14:paraId="22AC6493" w14:textId="77777777" w:rsidR="00672C55" w:rsidRDefault="00672C55"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05F25"/>
    <w:multiLevelType w:val="hybridMultilevel"/>
    <w:tmpl w:val="8F2E453A"/>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1674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9"/>
  </w:num>
  <w:num w:numId="2">
    <w:abstractNumId w:val="11"/>
  </w:num>
  <w:num w:numId="3">
    <w:abstractNumId w:val="2"/>
  </w:num>
  <w:num w:numId="4">
    <w:abstractNumId w:val="8"/>
  </w:num>
  <w:num w:numId="5">
    <w:abstractNumId w:val="7"/>
  </w:num>
  <w:num w:numId="6">
    <w:abstractNumId w:val="0"/>
  </w:num>
  <w:num w:numId="7">
    <w:abstractNumId w:val="1"/>
  </w:num>
  <w:num w:numId="8">
    <w:abstractNumId w:val="10"/>
  </w:num>
  <w:num w:numId="9">
    <w:abstractNumId w:val="3"/>
  </w:num>
  <w:num w:numId="10">
    <w:abstractNumId w:val="4"/>
  </w:num>
  <w:num w:numId="11">
    <w:abstractNumId w:val="5"/>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4B6E"/>
    <w:rsid w:val="00013FFB"/>
    <w:rsid w:val="000142B3"/>
    <w:rsid w:val="00014C57"/>
    <w:rsid w:val="00021707"/>
    <w:rsid w:val="000244D5"/>
    <w:rsid w:val="000426D9"/>
    <w:rsid w:val="00047D1B"/>
    <w:rsid w:val="00051139"/>
    <w:rsid w:val="000554F5"/>
    <w:rsid w:val="0005564F"/>
    <w:rsid w:val="00055E81"/>
    <w:rsid w:val="00056257"/>
    <w:rsid w:val="00056FD0"/>
    <w:rsid w:val="00057B58"/>
    <w:rsid w:val="00062A9F"/>
    <w:rsid w:val="00063D69"/>
    <w:rsid w:val="000669BE"/>
    <w:rsid w:val="00067EB5"/>
    <w:rsid w:val="000713CA"/>
    <w:rsid w:val="00080F95"/>
    <w:rsid w:val="000940FD"/>
    <w:rsid w:val="0009502A"/>
    <w:rsid w:val="000A77FC"/>
    <w:rsid w:val="000B2B33"/>
    <w:rsid w:val="000C5802"/>
    <w:rsid w:val="000D02B2"/>
    <w:rsid w:val="000D0C9D"/>
    <w:rsid w:val="000D2325"/>
    <w:rsid w:val="000D2CBB"/>
    <w:rsid w:val="000D5B87"/>
    <w:rsid w:val="000E1CF9"/>
    <w:rsid w:val="00107A19"/>
    <w:rsid w:val="001249AC"/>
    <w:rsid w:val="00124D8C"/>
    <w:rsid w:val="00125B7F"/>
    <w:rsid w:val="001263F8"/>
    <w:rsid w:val="00127460"/>
    <w:rsid w:val="00132FFD"/>
    <w:rsid w:val="00141BFB"/>
    <w:rsid w:val="00141C1F"/>
    <w:rsid w:val="00146C05"/>
    <w:rsid w:val="00153F66"/>
    <w:rsid w:val="0016065C"/>
    <w:rsid w:val="0016137A"/>
    <w:rsid w:val="0016652D"/>
    <w:rsid w:val="00173406"/>
    <w:rsid w:val="001824A5"/>
    <w:rsid w:val="0019130F"/>
    <w:rsid w:val="0019187F"/>
    <w:rsid w:val="00197AA3"/>
    <w:rsid w:val="001A4907"/>
    <w:rsid w:val="001B03C3"/>
    <w:rsid w:val="001B4684"/>
    <w:rsid w:val="001C1BF3"/>
    <w:rsid w:val="001C7B46"/>
    <w:rsid w:val="001D03E7"/>
    <w:rsid w:val="001D0F00"/>
    <w:rsid w:val="001D33A4"/>
    <w:rsid w:val="001D3B63"/>
    <w:rsid w:val="001D55FD"/>
    <w:rsid w:val="001E4821"/>
    <w:rsid w:val="001F4AC0"/>
    <w:rsid w:val="001F6E9E"/>
    <w:rsid w:val="00230ED4"/>
    <w:rsid w:val="00232567"/>
    <w:rsid w:val="002424CD"/>
    <w:rsid w:val="002622DA"/>
    <w:rsid w:val="002644A1"/>
    <w:rsid w:val="002739C3"/>
    <w:rsid w:val="002778D0"/>
    <w:rsid w:val="00287E1F"/>
    <w:rsid w:val="002960E8"/>
    <w:rsid w:val="002A1FDA"/>
    <w:rsid w:val="002B17DD"/>
    <w:rsid w:val="002B2FA9"/>
    <w:rsid w:val="002B7DF0"/>
    <w:rsid w:val="002C7266"/>
    <w:rsid w:val="002D5560"/>
    <w:rsid w:val="002D7C09"/>
    <w:rsid w:val="002E61E6"/>
    <w:rsid w:val="002F78EF"/>
    <w:rsid w:val="002F7ED2"/>
    <w:rsid w:val="00312B96"/>
    <w:rsid w:val="003154C2"/>
    <w:rsid w:val="00327324"/>
    <w:rsid w:val="00330FE1"/>
    <w:rsid w:val="003419B2"/>
    <w:rsid w:val="0035491E"/>
    <w:rsid w:val="003630BF"/>
    <w:rsid w:val="00363E14"/>
    <w:rsid w:val="00364BC3"/>
    <w:rsid w:val="00366390"/>
    <w:rsid w:val="00373F7D"/>
    <w:rsid w:val="003854C1"/>
    <w:rsid w:val="0038781D"/>
    <w:rsid w:val="00391DA7"/>
    <w:rsid w:val="00395D7F"/>
    <w:rsid w:val="003971B9"/>
    <w:rsid w:val="003A6DBF"/>
    <w:rsid w:val="003B574B"/>
    <w:rsid w:val="003C6B92"/>
    <w:rsid w:val="003D1EEF"/>
    <w:rsid w:val="003D6F6B"/>
    <w:rsid w:val="00403F15"/>
    <w:rsid w:val="004106CA"/>
    <w:rsid w:val="00420FCA"/>
    <w:rsid w:val="00433D9E"/>
    <w:rsid w:val="00434C9B"/>
    <w:rsid w:val="004350F6"/>
    <w:rsid w:val="00436B41"/>
    <w:rsid w:val="0045797C"/>
    <w:rsid w:val="00461917"/>
    <w:rsid w:val="00461E70"/>
    <w:rsid w:val="0046625B"/>
    <w:rsid w:val="004677E9"/>
    <w:rsid w:val="00467E09"/>
    <w:rsid w:val="00471CF7"/>
    <w:rsid w:val="00476CE8"/>
    <w:rsid w:val="00486FDF"/>
    <w:rsid w:val="0049109D"/>
    <w:rsid w:val="00493068"/>
    <w:rsid w:val="00497479"/>
    <w:rsid w:val="00497D43"/>
    <w:rsid w:val="004A7AE0"/>
    <w:rsid w:val="004B21A3"/>
    <w:rsid w:val="004C1005"/>
    <w:rsid w:val="004C3FB8"/>
    <w:rsid w:val="004C6E74"/>
    <w:rsid w:val="004D48A7"/>
    <w:rsid w:val="004D60FF"/>
    <w:rsid w:val="004E07E8"/>
    <w:rsid w:val="004E343C"/>
    <w:rsid w:val="004E57F4"/>
    <w:rsid w:val="004E59BC"/>
    <w:rsid w:val="004F647E"/>
    <w:rsid w:val="004F783F"/>
    <w:rsid w:val="00514CFE"/>
    <w:rsid w:val="005173BA"/>
    <w:rsid w:val="005210DD"/>
    <w:rsid w:val="00530A3F"/>
    <w:rsid w:val="00531319"/>
    <w:rsid w:val="00543127"/>
    <w:rsid w:val="00546529"/>
    <w:rsid w:val="0054713B"/>
    <w:rsid w:val="005471EF"/>
    <w:rsid w:val="00551C9B"/>
    <w:rsid w:val="005523F1"/>
    <w:rsid w:val="005573D1"/>
    <w:rsid w:val="00570A94"/>
    <w:rsid w:val="00570B10"/>
    <w:rsid w:val="00572A29"/>
    <w:rsid w:val="00576F57"/>
    <w:rsid w:val="00577413"/>
    <w:rsid w:val="00577C2D"/>
    <w:rsid w:val="00580E5A"/>
    <w:rsid w:val="00582E8E"/>
    <w:rsid w:val="00584205"/>
    <w:rsid w:val="0059597E"/>
    <w:rsid w:val="005A167B"/>
    <w:rsid w:val="005A1C34"/>
    <w:rsid w:val="005C0885"/>
    <w:rsid w:val="005C1CB3"/>
    <w:rsid w:val="005C40F2"/>
    <w:rsid w:val="005D7B48"/>
    <w:rsid w:val="005E4CD9"/>
    <w:rsid w:val="005E5998"/>
    <w:rsid w:val="005F56AA"/>
    <w:rsid w:val="005F7EAE"/>
    <w:rsid w:val="006164FF"/>
    <w:rsid w:val="00616D4B"/>
    <w:rsid w:val="00617CF4"/>
    <w:rsid w:val="0062196F"/>
    <w:rsid w:val="006240CC"/>
    <w:rsid w:val="00627166"/>
    <w:rsid w:val="00637922"/>
    <w:rsid w:val="006455B8"/>
    <w:rsid w:val="00654C61"/>
    <w:rsid w:val="006604D6"/>
    <w:rsid w:val="006642EC"/>
    <w:rsid w:val="00665DBF"/>
    <w:rsid w:val="00665DD4"/>
    <w:rsid w:val="0067075F"/>
    <w:rsid w:val="00672C55"/>
    <w:rsid w:val="006745B8"/>
    <w:rsid w:val="006751C0"/>
    <w:rsid w:val="0067654F"/>
    <w:rsid w:val="006B04B2"/>
    <w:rsid w:val="006B0A00"/>
    <w:rsid w:val="006B424C"/>
    <w:rsid w:val="006C465F"/>
    <w:rsid w:val="006D0891"/>
    <w:rsid w:val="006D4842"/>
    <w:rsid w:val="006D51FE"/>
    <w:rsid w:val="006F7FBA"/>
    <w:rsid w:val="00703196"/>
    <w:rsid w:val="007044D9"/>
    <w:rsid w:val="00725D74"/>
    <w:rsid w:val="007428DF"/>
    <w:rsid w:val="00772ED8"/>
    <w:rsid w:val="0077719C"/>
    <w:rsid w:val="00796899"/>
    <w:rsid w:val="007B4479"/>
    <w:rsid w:val="007B5373"/>
    <w:rsid w:val="007C2E26"/>
    <w:rsid w:val="007D2E75"/>
    <w:rsid w:val="007E3970"/>
    <w:rsid w:val="007E407F"/>
    <w:rsid w:val="007E581B"/>
    <w:rsid w:val="007E5B5A"/>
    <w:rsid w:val="007E623C"/>
    <w:rsid w:val="007F2084"/>
    <w:rsid w:val="007F48ED"/>
    <w:rsid w:val="007F51ED"/>
    <w:rsid w:val="007F5DE7"/>
    <w:rsid w:val="00803A73"/>
    <w:rsid w:val="008041B2"/>
    <w:rsid w:val="00806B3B"/>
    <w:rsid w:val="00816DED"/>
    <w:rsid w:val="00827A34"/>
    <w:rsid w:val="00835CED"/>
    <w:rsid w:val="00837D7C"/>
    <w:rsid w:val="00841F61"/>
    <w:rsid w:val="0084427D"/>
    <w:rsid w:val="00852AD7"/>
    <w:rsid w:val="00855042"/>
    <w:rsid w:val="00857492"/>
    <w:rsid w:val="00860738"/>
    <w:rsid w:val="008607A6"/>
    <w:rsid w:val="00866588"/>
    <w:rsid w:val="00871423"/>
    <w:rsid w:val="00873B8E"/>
    <w:rsid w:val="00883D70"/>
    <w:rsid w:val="008973BD"/>
    <w:rsid w:val="008A440C"/>
    <w:rsid w:val="008B3FCF"/>
    <w:rsid w:val="008B57F6"/>
    <w:rsid w:val="008C604E"/>
    <w:rsid w:val="008D3E52"/>
    <w:rsid w:val="008D6F65"/>
    <w:rsid w:val="008D76F5"/>
    <w:rsid w:val="008E45A9"/>
    <w:rsid w:val="008E6713"/>
    <w:rsid w:val="00903306"/>
    <w:rsid w:val="00907392"/>
    <w:rsid w:val="00910738"/>
    <w:rsid w:val="00910C76"/>
    <w:rsid w:val="009170CA"/>
    <w:rsid w:val="009206B9"/>
    <w:rsid w:val="00924997"/>
    <w:rsid w:val="00926863"/>
    <w:rsid w:val="0093032D"/>
    <w:rsid w:val="009340C8"/>
    <w:rsid w:val="009342DE"/>
    <w:rsid w:val="009553C6"/>
    <w:rsid w:val="00955D51"/>
    <w:rsid w:val="00957C37"/>
    <w:rsid w:val="00963D37"/>
    <w:rsid w:val="00987A8E"/>
    <w:rsid w:val="0099283D"/>
    <w:rsid w:val="00996A9A"/>
    <w:rsid w:val="009C21DF"/>
    <w:rsid w:val="009C4FAA"/>
    <w:rsid w:val="009C6C9B"/>
    <w:rsid w:val="009D1ED7"/>
    <w:rsid w:val="009D64C0"/>
    <w:rsid w:val="009D7775"/>
    <w:rsid w:val="009E1052"/>
    <w:rsid w:val="009E15EB"/>
    <w:rsid w:val="009F732A"/>
    <w:rsid w:val="009F7CE4"/>
    <w:rsid w:val="00A008BF"/>
    <w:rsid w:val="00A01CFC"/>
    <w:rsid w:val="00A06F6F"/>
    <w:rsid w:val="00A0758A"/>
    <w:rsid w:val="00A0794E"/>
    <w:rsid w:val="00A115F8"/>
    <w:rsid w:val="00A13CCF"/>
    <w:rsid w:val="00A23629"/>
    <w:rsid w:val="00A42A86"/>
    <w:rsid w:val="00A45514"/>
    <w:rsid w:val="00A50433"/>
    <w:rsid w:val="00A520FF"/>
    <w:rsid w:val="00A56344"/>
    <w:rsid w:val="00A6136C"/>
    <w:rsid w:val="00A637C5"/>
    <w:rsid w:val="00A666E4"/>
    <w:rsid w:val="00A731BB"/>
    <w:rsid w:val="00A84274"/>
    <w:rsid w:val="00AA1D77"/>
    <w:rsid w:val="00AB0396"/>
    <w:rsid w:val="00AB2822"/>
    <w:rsid w:val="00AB3D9A"/>
    <w:rsid w:val="00AB3ED9"/>
    <w:rsid w:val="00AB51FD"/>
    <w:rsid w:val="00AB6CB2"/>
    <w:rsid w:val="00AC1882"/>
    <w:rsid w:val="00AC301F"/>
    <w:rsid w:val="00AC38DE"/>
    <w:rsid w:val="00AD2A0C"/>
    <w:rsid w:val="00AD5FFE"/>
    <w:rsid w:val="00B1210E"/>
    <w:rsid w:val="00B13E33"/>
    <w:rsid w:val="00B17C99"/>
    <w:rsid w:val="00B225C5"/>
    <w:rsid w:val="00B2312F"/>
    <w:rsid w:val="00B243BB"/>
    <w:rsid w:val="00B31A9B"/>
    <w:rsid w:val="00B354EF"/>
    <w:rsid w:val="00B3733F"/>
    <w:rsid w:val="00B438DE"/>
    <w:rsid w:val="00B45005"/>
    <w:rsid w:val="00B529C9"/>
    <w:rsid w:val="00B718E9"/>
    <w:rsid w:val="00B77961"/>
    <w:rsid w:val="00B937F9"/>
    <w:rsid w:val="00BB0A50"/>
    <w:rsid w:val="00BC1D28"/>
    <w:rsid w:val="00BD422C"/>
    <w:rsid w:val="00BF0374"/>
    <w:rsid w:val="00C00D2E"/>
    <w:rsid w:val="00C0434C"/>
    <w:rsid w:val="00C06B46"/>
    <w:rsid w:val="00C12BA4"/>
    <w:rsid w:val="00C21A53"/>
    <w:rsid w:val="00C27D41"/>
    <w:rsid w:val="00C3062B"/>
    <w:rsid w:val="00C344F0"/>
    <w:rsid w:val="00C367DC"/>
    <w:rsid w:val="00C407E9"/>
    <w:rsid w:val="00C45E7B"/>
    <w:rsid w:val="00C54829"/>
    <w:rsid w:val="00C5516D"/>
    <w:rsid w:val="00C601AD"/>
    <w:rsid w:val="00C6293E"/>
    <w:rsid w:val="00C76611"/>
    <w:rsid w:val="00C76FDD"/>
    <w:rsid w:val="00C8085E"/>
    <w:rsid w:val="00C83A60"/>
    <w:rsid w:val="00C87793"/>
    <w:rsid w:val="00CB2AB3"/>
    <w:rsid w:val="00CC51D6"/>
    <w:rsid w:val="00CE0AAA"/>
    <w:rsid w:val="00CE5882"/>
    <w:rsid w:val="00CE72A9"/>
    <w:rsid w:val="00CF4452"/>
    <w:rsid w:val="00D020EA"/>
    <w:rsid w:val="00D0430E"/>
    <w:rsid w:val="00D062C5"/>
    <w:rsid w:val="00D104DC"/>
    <w:rsid w:val="00D12F8A"/>
    <w:rsid w:val="00D32F5D"/>
    <w:rsid w:val="00D34F35"/>
    <w:rsid w:val="00D3798F"/>
    <w:rsid w:val="00D4212B"/>
    <w:rsid w:val="00D425FC"/>
    <w:rsid w:val="00D47ACD"/>
    <w:rsid w:val="00D47E1B"/>
    <w:rsid w:val="00D50307"/>
    <w:rsid w:val="00D5653D"/>
    <w:rsid w:val="00D6418C"/>
    <w:rsid w:val="00D642D1"/>
    <w:rsid w:val="00D67A02"/>
    <w:rsid w:val="00D759CC"/>
    <w:rsid w:val="00D83A36"/>
    <w:rsid w:val="00D85577"/>
    <w:rsid w:val="00D92720"/>
    <w:rsid w:val="00D96AC8"/>
    <w:rsid w:val="00DA06E4"/>
    <w:rsid w:val="00DA0B0A"/>
    <w:rsid w:val="00DA2792"/>
    <w:rsid w:val="00DA4B23"/>
    <w:rsid w:val="00DB0CA7"/>
    <w:rsid w:val="00DB410E"/>
    <w:rsid w:val="00DD21CD"/>
    <w:rsid w:val="00DD70F8"/>
    <w:rsid w:val="00DD7297"/>
    <w:rsid w:val="00DE0231"/>
    <w:rsid w:val="00DE0F24"/>
    <w:rsid w:val="00DE233D"/>
    <w:rsid w:val="00DE425A"/>
    <w:rsid w:val="00DE54E2"/>
    <w:rsid w:val="00DF2790"/>
    <w:rsid w:val="00DF4D01"/>
    <w:rsid w:val="00DF601B"/>
    <w:rsid w:val="00DF7C70"/>
    <w:rsid w:val="00DF7D10"/>
    <w:rsid w:val="00E02DF9"/>
    <w:rsid w:val="00E068BC"/>
    <w:rsid w:val="00E15D66"/>
    <w:rsid w:val="00E16D26"/>
    <w:rsid w:val="00E26B1C"/>
    <w:rsid w:val="00E30A31"/>
    <w:rsid w:val="00E314CA"/>
    <w:rsid w:val="00E42746"/>
    <w:rsid w:val="00E4285A"/>
    <w:rsid w:val="00E44388"/>
    <w:rsid w:val="00E45E98"/>
    <w:rsid w:val="00E469BC"/>
    <w:rsid w:val="00E541CE"/>
    <w:rsid w:val="00E55C0F"/>
    <w:rsid w:val="00E5753E"/>
    <w:rsid w:val="00E60DFD"/>
    <w:rsid w:val="00E63972"/>
    <w:rsid w:val="00E7479A"/>
    <w:rsid w:val="00E758C8"/>
    <w:rsid w:val="00E75B70"/>
    <w:rsid w:val="00E76443"/>
    <w:rsid w:val="00E773B1"/>
    <w:rsid w:val="00E86C03"/>
    <w:rsid w:val="00E969B8"/>
    <w:rsid w:val="00EA268B"/>
    <w:rsid w:val="00EA69C9"/>
    <w:rsid w:val="00EB5A49"/>
    <w:rsid w:val="00EC0CAA"/>
    <w:rsid w:val="00EC1BBD"/>
    <w:rsid w:val="00EC287D"/>
    <w:rsid w:val="00EC30B1"/>
    <w:rsid w:val="00EE13AD"/>
    <w:rsid w:val="00EE27C1"/>
    <w:rsid w:val="00EE3373"/>
    <w:rsid w:val="00EE3EF5"/>
    <w:rsid w:val="00EF2434"/>
    <w:rsid w:val="00F0105B"/>
    <w:rsid w:val="00F01F00"/>
    <w:rsid w:val="00F02324"/>
    <w:rsid w:val="00F04F42"/>
    <w:rsid w:val="00F06030"/>
    <w:rsid w:val="00F0752E"/>
    <w:rsid w:val="00F17D98"/>
    <w:rsid w:val="00F20F03"/>
    <w:rsid w:val="00F274ED"/>
    <w:rsid w:val="00F32D1E"/>
    <w:rsid w:val="00F33C06"/>
    <w:rsid w:val="00F41890"/>
    <w:rsid w:val="00F5556F"/>
    <w:rsid w:val="00F5645D"/>
    <w:rsid w:val="00F604BC"/>
    <w:rsid w:val="00F65DAB"/>
    <w:rsid w:val="00F67DD7"/>
    <w:rsid w:val="00F772D3"/>
    <w:rsid w:val="00F80C8B"/>
    <w:rsid w:val="00F8241C"/>
    <w:rsid w:val="00F8542E"/>
    <w:rsid w:val="00F9709E"/>
    <w:rsid w:val="00FB3F4E"/>
    <w:rsid w:val="00FC020E"/>
    <w:rsid w:val="00FC032A"/>
    <w:rsid w:val="00FC0C46"/>
    <w:rsid w:val="00FC1BB5"/>
    <w:rsid w:val="00FC5345"/>
    <w:rsid w:val="00FC66B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0"/>
    <w:qFormat/>
    <w:rsid w:val="00627166"/>
    <w:pPr>
      <w:keepNext/>
      <w:widowControl/>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
    <w:basedOn w:val="a"/>
    <w:next w:val="a"/>
    <w:link w:val="20"/>
    <w:qFormat/>
    <w:rsid w:val="00627166"/>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
    <w:name w:val="heading 3"/>
    <w:aliases w:val="Underrubrik2,H3,no break,Memo Heading 3"/>
    <w:basedOn w:val="a"/>
    <w:next w:val="a"/>
    <w:link w:val="30"/>
    <w:qFormat/>
    <w:rsid w:val="00627166"/>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0"/>
    <w:qFormat/>
    <w:rsid w:val="00627166"/>
    <w:pPr>
      <w:keepNext/>
      <w:widowControl/>
      <w:jc w:val="right"/>
      <w:outlineLvl w:val="3"/>
    </w:pPr>
    <w:rPr>
      <w:rFonts w:ascii="Arial" w:eastAsia="ＭＳ ゴシック"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DE233D"/>
    <w:rPr>
      <w:sz w:val="18"/>
      <w:szCs w:val="18"/>
    </w:rPr>
  </w:style>
  <w:style w:type="paragraph" w:styleId="a5">
    <w:name w:val="footer"/>
    <w:basedOn w:val="a"/>
    <w:link w:val="a6"/>
    <w:uiPriority w:val="99"/>
    <w:unhideWhenUsed/>
    <w:rsid w:val="00DE233D"/>
    <w:pPr>
      <w:tabs>
        <w:tab w:val="center" w:pos="4153"/>
        <w:tab w:val="right" w:pos="8306"/>
      </w:tabs>
      <w:snapToGrid w:val="0"/>
      <w:jc w:val="left"/>
    </w:pPr>
    <w:rPr>
      <w:sz w:val="18"/>
      <w:szCs w:val="18"/>
    </w:rPr>
  </w:style>
  <w:style w:type="character" w:customStyle="1" w:styleId="a6">
    <w:name w:val="フッター (文字)"/>
    <w:basedOn w:val="a0"/>
    <w:link w:val="a5"/>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7">
    <w:name w:val="annotation reference"/>
    <w:basedOn w:val="a0"/>
    <w:uiPriority w:val="99"/>
    <w:semiHidden/>
    <w:unhideWhenUsed/>
    <w:rsid w:val="00FF445F"/>
    <w:rPr>
      <w:sz w:val="21"/>
      <w:szCs w:val="21"/>
    </w:rPr>
  </w:style>
  <w:style w:type="paragraph" w:styleId="a8">
    <w:name w:val="annotation text"/>
    <w:basedOn w:val="a"/>
    <w:link w:val="a9"/>
    <w:uiPriority w:val="99"/>
    <w:unhideWhenUsed/>
    <w:rsid w:val="00FF445F"/>
    <w:pPr>
      <w:jc w:val="left"/>
    </w:pPr>
  </w:style>
  <w:style w:type="character" w:customStyle="1" w:styleId="a9">
    <w:name w:val="コメント文字列 (文字)"/>
    <w:basedOn w:val="a0"/>
    <w:link w:val="a8"/>
    <w:uiPriority w:val="99"/>
    <w:rsid w:val="00FF445F"/>
  </w:style>
  <w:style w:type="paragraph" w:styleId="aa">
    <w:name w:val="annotation subject"/>
    <w:basedOn w:val="a8"/>
    <w:next w:val="a8"/>
    <w:link w:val="ab"/>
    <w:uiPriority w:val="99"/>
    <w:semiHidden/>
    <w:unhideWhenUsed/>
    <w:rsid w:val="00FF445F"/>
    <w:rPr>
      <w:b/>
      <w:bCs/>
    </w:rPr>
  </w:style>
  <w:style w:type="character" w:customStyle="1" w:styleId="ab">
    <w:name w:val="コメント内容 (文字)"/>
    <w:basedOn w:val="a9"/>
    <w:link w:val="aa"/>
    <w:uiPriority w:val="99"/>
    <w:semiHidden/>
    <w:rsid w:val="00FF445F"/>
    <w:rPr>
      <w:b/>
      <w:bCs/>
    </w:rPr>
  </w:style>
  <w:style w:type="paragraph" w:styleId="ac">
    <w:name w:val="Balloon Text"/>
    <w:basedOn w:val="a"/>
    <w:link w:val="ad"/>
    <w:uiPriority w:val="99"/>
    <w:semiHidden/>
    <w:unhideWhenUsed/>
    <w:rsid w:val="00FF445F"/>
    <w:rPr>
      <w:sz w:val="18"/>
      <w:szCs w:val="18"/>
    </w:rPr>
  </w:style>
  <w:style w:type="character" w:customStyle="1" w:styleId="ad">
    <w:name w:val="吹き出し (文字)"/>
    <w:basedOn w:val="a0"/>
    <w:link w:val="ac"/>
    <w:uiPriority w:val="99"/>
    <w:semiHidden/>
    <w:rsid w:val="00FF445F"/>
    <w:rPr>
      <w:sz w:val="18"/>
      <w:szCs w:val="18"/>
    </w:rPr>
  </w:style>
  <w:style w:type="paragraph" w:styleId="ae">
    <w:name w:val="List Paragraph"/>
    <w:aliases w:val="- Bullets,목록 단락,?? ??,?????,????,Lista1,列出段落1,中等深浅网格 1 - 着色 21,列表段落,¥¡¡¡¡ì¬º¥¹¥È¶ÎÂä,ÁÐ³ö¶ÎÂä,列表段落1,—ño’i—Ž,¥ê¥¹¥È¶ÎÂä,列出段落,1st level - Bullet List Paragraph,Lettre d'introduction,Paragrafo elenco,Normal bullet 2,Bullet list"/>
    <w:basedOn w:val="a"/>
    <w:link w:val="af"/>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
    <w:basedOn w:val="a0"/>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627166"/>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
    <w:basedOn w:val="a0"/>
    <w:link w:val="3"/>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27166"/>
    <w:rPr>
      <w:rFonts w:ascii="Arial" w:eastAsia="ＭＳ ゴシック" w:hAnsi="Arial" w:cs="Times New Roman"/>
      <w:i/>
      <w:kern w:val="0"/>
      <w:sz w:val="24"/>
      <w:szCs w:val="24"/>
      <w:lang w:eastAsia="en-US"/>
    </w:rPr>
  </w:style>
  <w:style w:type="paragraph" w:customStyle="1" w:styleId="CRCoverPage">
    <w:name w:val="CR Cover Page"/>
    <w:next w:val="a"/>
    <w:rsid w:val="00627166"/>
    <w:pPr>
      <w:spacing w:after="120"/>
    </w:pPr>
    <w:rPr>
      <w:rFonts w:ascii="Arial" w:eastAsia="ＭＳ 明朝" w:hAnsi="Arial" w:cs="Times New Roman"/>
      <w:kern w:val="0"/>
      <w:sz w:val="20"/>
      <w:szCs w:val="20"/>
      <w:lang w:val="en-GB" w:eastAsia="en-US"/>
    </w:rPr>
  </w:style>
  <w:style w:type="character" w:customStyle="1" w:styleId="af">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列出段落 (文字),1st level - Bullet List Paragraph (文字)"/>
    <w:link w:val="ae"/>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f0">
    <w:name w:val="Placeholder Text"/>
    <w:basedOn w:val="a0"/>
    <w:uiPriority w:val="99"/>
    <w:semiHidden/>
    <w:rsid w:val="002622DA"/>
    <w:rPr>
      <w:color w:val="808080"/>
    </w:rPr>
  </w:style>
  <w:style w:type="table" w:styleId="af1">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447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AFE7-1CAE-4849-BCC9-CCA3E958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1396</Words>
  <Characters>7961</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2019-08-16T08:30:00Z</dcterms:created>
  <dcterms:modified xsi:type="dcterms:W3CDTF">2019-08-16T08:30:00Z</dcterms:modified>
</cp:coreProperties>
</file>